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r>
        <w:object w:dxaOrig="864" w:dyaOrig="1281">
          <v:rect xmlns:o="urn:schemas-microsoft-com:office:office" xmlns:v="urn:schemas-microsoft-com:vml" id="rectole0000000000" style="width:43.200000pt;height:64.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r>
        <w:rPr>
          <w:rFonts w:ascii="Times New Roman" w:hAnsi="Times New Roman" w:cs="Times New Roman" w:eastAsia="Times New Roman"/>
          <w:b/>
          <w:color w:val="000000"/>
          <w:spacing w:val="0"/>
          <w:position w:val="0"/>
          <w:sz w:val="72"/>
          <w:shd w:fill="auto" w:val="clear"/>
        </w:rPr>
        <w:t xml:space="preserve">COMUNE DI PETROSINO</w:t>
      </w: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PROVINCIA REGIONALE DI TRAPANI</w:t>
      </w:r>
    </w:p>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r>
        <w:rPr>
          <w:rFonts w:ascii="Times New Roman" w:hAnsi="Times New Roman" w:cs="Times New Roman" w:eastAsia="Times New Roman"/>
          <w:b/>
          <w:color w:val="000000"/>
          <w:spacing w:val="0"/>
          <w:position w:val="0"/>
          <w:sz w:val="72"/>
          <w:shd w:fill="auto" w:val="clear"/>
        </w:rPr>
        <w:t xml:space="preserve">PIANO TRIENNALE PREVENZIONE DELLA CORRUZIONE</w:t>
      </w:r>
    </w:p>
    <w:p>
      <w:pPr>
        <w:spacing w:before="0" w:after="0" w:line="240"/>
        <w:ind w:right="0" w:left="0" w:firstLine="0"/>
        <w:jc w:val="center"/>
        <w:rPr>
          <w:rFonts w:ascii="Times New Roman" w:hAnsi="Times New Roman" w:cs="Times New Roman" w:eastAsia="Times New Roman"/>
          <w:b/>
          <w:color w:val="000000"/>
          <w:spacing w:val="0"/>
          <w:position w:val="0"/>
          <w:sz w:val="72"/>
          <w:shd w:fill="auto" w:val="clear"/>
        </w:rPr>
      </w:pPr>
      <w:r>
        <w:rPr>
          <w:rFonts w:ascii="Times New Roman" w:hAnsi="Times New Roman" w:cs="Times New Roman" w:eastAsia="Times New Roman"/>
          <w:b/>
          <w:color w:val="000000"/>
          <w:spacing w:val="0"/>
          <w:position w:val="0"/>
          <w:sz w:val="72"/>
          <w:shd w:fill="auto" w:val="clear"/>
        </w:rPr>
        <w:t xml:space="preserve">2014/2016</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INDICE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Titolo I </w:t>
      </w:r>
      <w:r>
        <w:rPr>
          <w:rFonts w:ascii="Times New Roman" w:hAnsi="Times New Roman" w:cs="Times New Roman" w:eastAsia="Times New Roman"/>
          <w:color w:val="000000"/>
          <w:spacing w:val="0"/>
          <w:position w:val="0"/>
          <w:sz w:val="24"/>
          <w:shd w:fill="auto" w:val="clear"/>
        </w:rPr>
        <w:t xml:space="preserve">Prevenzione dell’illegalità diffusa</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 </w:t>
      </w:r>
      <w:r>
        <w:rPr>
          <w:rFonts w:ascii="Times New Roman" w:hAnsi="Times New Roman" w:cs="Times New Roman" w:eastAsia="Times New Roman"/>
          <w:color w:val="000000"/>
          <w:spacing w:val="0"/>
          <w:position w:val="0"/>
          <w:sz w:val="24"/>
          <w:shd w:fill="auto" w:val="clear"/>
        </w:rPr>
        <w:t xml:space="preserve">Oggetto del Piano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2 </w:t>
      </w:r>
      <w:r>
        <w:rPr>
          <w:rFonts w:ascii="Times New Roman" w:hAnsi="Times New Roman" w:cs="Times New Roman" w:eastAsia="Times New Roman"/>
          <w:color w:val="000000"/>
          <w:spacing w:val="0"/>
          <w:position w:val="0"/>
          <w:sz w:val="24"/>
          <w:shd w:fill="auto" w:val="clear"/>
        </w:rPr>
        <w:t xml:space="preserve">Premessa metodologica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3 </w:t>
      </w:r>
      <w:r>
        <w:rPr>
          <w:rFonts w:ascii="Times New Roman" w:hAnsi="Times New Roman" w:cs="Times New Roman" w:eastAsia="Times New Roman"/>
          <w:color w:val="000000"/>
          <w:spacing w:val="0"/>
          <w:position w:val="0"/>
          <w:sz w:val="24"/>
          <w:shd w:fill="auto" w:val="clear"/>
        </w:rPr>
        <w:t xml:space="preserve">Individuazione del responsabile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4 </w:t>
      </w:r>
      <w:r>
        <w:rPr>
          <w:rFonts w:ascii="Times New Roman" w:hAnsi="Times New Roman" w:cs="Times New Roman" w:eastAsia="Times New Roman"/>
          <w:color w:val="000000"/>
          <w:spacing w:val="0"/>
          <w:position w:val="0"/>
          <w:sz w:val="24"/>
          <w:shd w:fill="auto" w:val="clear"/>
        </w:rPr>
        <w:t xml:space="preserve">Mappatura delle attività a più elevato rischio di corruzione nell’ente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5 </w:t>
      </w:r>
      <w:r>
        <w:rPr>
          <w:rFonts w:ascii="Times New Roman" w:hAnsi="Times New Roman" w:cs="Times New Roman" w:eastAsia="Times New Roman"/>
          <w:color w:val="000000"/>
          <w:spacing w:val="0"/>
          <w:position w:val="0"/>
          <w:sz w:val="24"/>
          <w:shd w:fill="auto" w:val="clear"/>
        </w:rPr>
        <w:t xml:space="preserve">Meccanismi di formazione, attuazione e controllo delle decisioni idonei a prevenire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rischio di corruzione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6 </w:t>
      </w:r>
      <w:r>
        <w:rPr>
          <w:rFonts w:ascii="Times New Roman" w:hAnsi="Times New Roman" w:cs="Times New Roman" w:eastAsia="Times New Roman"/>
          <w:color w:val="000000"/>
          <w:spacing w:val="0"/>
          <w:position w:val="0"/>
          <w:sz w:val="24"/>
          <w:shd w:fill="auto" w:val="clear"/>
        </w:rPr>
        <w:t xml:space="preserve">Obblighi di informazione delle posizioni organizzative nei confronti del responsabile della prevenzione della corruzione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7 </w:t>
      </w:r>
      <w:r>
        <w:rPr>
          <w:rFonts w:ascii="Times New Roman" w:hAnsi="Times New Roman" w:cs="Times New Roman" w:eastAsia="Times New Roman"/>
          <w:color w:val="000000"/>
          <w:spacing w:val="0"/>
          <w:position w:val="0"/>
          <w:sz w:val="24"/>
          <w:shd w:fill="auto" w:val="clear"/>
        </w:rPr>
        <w:t xml:space="preserve">Monitoraggio del rispetto dei termini, previsti dalla legge o dai regolamenti, per la conclusione dei procedimenti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8 </w:t>
      </w:r>
      <w:r>
        <w:rPr>
          <w:rFonts w:ascii="Times New Roman" w:hAnsi="Times New Roman" w:cs="Times New Roman" w:eastAsia="Times New Roman"/>
          <w:color w:val="000000"/>
          <w:spacing w:val="0"/>
          <w:position w:val="0"/>
          <w:sz w:val="24"/>
          <w:shd w:fill="auto" w:val="clear"/>
        </w:rPr>
        <w:t xml:space="preserve">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Responsabili di posizioni organizzative  e i dipendenti dell’amministrazione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9 </w:t>
      </w:r>
      <w:r>
        <w:rPr>
          <w:rFonts w:ascii="Times New Roman" w:hAnsi="Times New Roman" w:cs="Times New Roman" w:eastAsia="Times New Roman"/>
          <w:color w:val="000000"/>
          <w:spacing w:val="0"/>
          <w:position w:val="0"/>
          <w:sz w:val="24"/>
          <w:shd w:fill="auto" w:val="clear"/>
        </w:rPr>
        <w:t xml:space="preserve">Rotazione degli incarichi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10 </w:t>
      </w:r>
      <w:r>
        <w:rPr>
          <w:rFonts w:ascii="Times New Roman" w:hAnsi="Times New Roman" w:cs="Times New Roman" w:eastAsia="Times New Roman"/>
          <w:color w:val="000000"/>
          <w:spacing w:val="0"/>
          <w:position w:val="0"/>
          <w:sz w:val="24"/>
          <w:shd w:fill="auto" w:val="clear"/>
        </w:rPr>
        <w:t xml:space="preserve">Formazione del personale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11 </w:t>
      </w:r>
      <w:r>
        <w:rPr>
          <w:rFonts w:ascii="Times New Roman" w:hAnsi="Times New Roman" w:cs="Times New Roman" w:eastAsia="Times New Roman"/>
          <w:color w:val="000000"/>
          <w:spacing w:val="0"/>
          <w:position w:val="0"/>
          <w:sz w:val="24"/>
          <w:shd w:fill="auto" w:val="clear"/>
        </w:rPr>
        <w:t xml:space="preserve">Incarichi incompatibilità, cumulo di impieghi e incarichi ai dipendenti pubblici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12 </w:t>
      </w:r>
      <w:r>
        <w:rPr>
          <w:rFonts w:ascii="Times New Roman" w:hAnsi="Times New Roman" w:cs="Times New Roman" w:eastAsia="Times New Roman"/>
          <w:color w:val="000000"/>
          <w:spacing w:val="0"/>
          <w:position w:val="0"/>
          <w:sz w:val="24"/>
          <w:shd w:fill="auto" w:val="clear"/>
        </w:rPr>
        <w:t xml:space="preserve">Vigilanza sul rispetto delle disposizioni in materia di inconferibilità e incompatibilità</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incarichi presso le pubbliche amministrazioni e presso gli enti privati in controllo pubblico, a norma dell’articolo 1, commi 49 e 50, della legge 6 novembre 2012, n. 190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13 </w:t>
      </w:r>
      <w:r>
        <w:rPr>
          <w:rFonts w:ascii="Times New Roman" w:hAnsi="Times New Roman" w:cs="Times New Roman" w:eastAsia="Times New Roman"/>
          <w:color w:val="000000"/>
          <w:spacing w:val="0"/>
          <w:position w:val="0"/>
          <w:sz w:val="24"/>
          <w:shd w:fill="auto" w:val="clear"/>
        </w:rPr>
        <w:t xml:space="preserve">Codice di comportamento e responsabilità disciplinare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14 </w:t>
      </w:r>
      <w:r>
        <w:rPr>
          <w:rFonts w:ascii="Times New Roman" w:hAnsi="Times New Roman" w:cs="Times New Roman" w:eastAsia="Times New Roman"/>
          <w:color w:val="000000"/>
          <w:spacing w:val="0"/>
          <w:position w:val="0"/>
          <w:sz w:val="24"/>
          <w:shd w:fill="auto" w:val="clear"/>
        </w:rPr>
        <w:t xml:space="preserve">Tutela del dipendente pubblico che segnala illeciti</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Titolo II </w:t>
      </w:r>
      <w:r>
        <w:rPr>
          <w:rFonts w:ascii="Times New Roman" w:hAnsi="Times New Roman" w:cs="Times New Roman" w:eastAsia="Times New Roman"/>
          <w:color w:val="000000"/>
          <w:spacing w:val="0"/>
          <w:position w:val="0"/>
          <w:sz w:val="24"/>
          <w:shd w:fill="auto" w:val="clear"/>
        </w:rPr>
        <w:t xml:space="preserve">Programma triennale per l’integrità e la trasparenza</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Titolo III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15 </w:t>
      </w:r>
      <w:r>
        <w:rPr>
          <w:rFonts w:ascii="Times New Roman" w:hAnsi="Times New Roman" w:cs="Times New Roman" w:eastAsia="Times New Roman"/>
          <w:color w:val="000000"/>
          <w:spacing w:val="0"/>
          <w:position w:val="0"/>
          <w:sz w:val="24"/>
          <w:shd w:fill="auto" w:val="clear"/>
        </w:rPr>
        <w:t xml:space="preserve">Disposizioni transitorie e finali</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Titolo I Prevenzione dell’illegalità diffusa</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Oggetto del Piano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Obiettivo del Piano è quello di prevenire il rischio della corruzione nell’attività amministrativa dell’ente con azioni di prevenzione e di contrasto della illegalità da svolgersi nel triennio 2014/2016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corruzione deve intendersi, oltre alle specifiche figure di reato previste nel nostro ordinamento,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malcostume politico e amministrativo.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circolare della Presidenza del Consiglio dei Ministri Dipartimento della Funzione Pubblica del 25 gennaio 2013 evidenzia, tra l’altro, il nesso tra corruzione amministrativa e corruzione penale e  precisa che il concetto di corruzione va inteso in senso lato, che ricomprenda anche le situazioni in cui, a prescindere dalla rilevanza penale, un soggetto, nell’esercizio dell’attività amministrativa, abusi del potere che gli è stato affidato al fine di ottenere un vantaggio privato. Secondo la Presidenza del Consiglio le situazioni rilevanti circoscrivono: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l’intera gamma dei delitti contro la pubblica amministrazione disciplinati dal Titolo II, Capo II del codice penale;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anche i casi di malfunzionamento dell’amministrazione a causa dell’uso a fini privati delle funzioni attribuite.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Obiettivo deve essere quindi quello di combattere la </w:t>
      </w:r>
      <w:r>
        <w:rPr>
          <w:rFonts w:ascii="Times New Roman" w:hAnsi="Times New Roman" w:cs="Times New Roman" w:eastAsia="Times New Roman"/>
          <w:i/>
          <w:color w:val="000000"/>
          <w:spacing w:val="0"/>
          <w:position w:val="0"/>
          <w:sz w:val="24"/>
          <w:shd w:fill="auto" w:val="clear"/>
        </w:rPr>
        <w:t xml:space="preserve">“cattiva amministrazione”, </w:t>
      </w:r>
      <w:r>
        <w:rPr>
          <w:rFonts w:ascii="Times New Roman" w:hAnsi="Times New Roman" w:cs="Times New Roman" w:eastAsia="Times New Roman"/>
          <w:color w:val="000000"/>
          <w:spacing w:val="0"/>
          <w:position w:val="0"/>
          <w:sz w:val="24"/>
          <w:shd w:fill="auto" w:val="clear"/>
        </w:rPr>
        <w:t xml:space="preserve">ovvero l’attività che non rispetta i parametri del </w:t>
      </w:r>
      <w:r>
        <w:rPr>
          <w:rFonts w:ascii="Times New Roman" w:hAnsi="Times New Roman" w:cs="Times New Roman" w:eastAsia="Times New Roman"/>
          <w:i/>
          <w:color w:val="000000"/>
          <w:spacing w:val="0"/>
          <w:position w:val="0"/>
          <w:sz w:val="24"/>
          <w:shd w:fill="auto" w:val="clear"/>
        </w:rPr>
        <w:t xml:space="preserve">“buon andamento” </w:t>
      </w:r>
      <w:r>
        <w:rPr>
          <w:rFonts w:ascii="Times New Roman" w:hAnsi="Times New Roman" w:cs="Times New Roman" w:eastAsia="Times New Roman"/>
          <w:color w:val="000000"/>
          <w:spacing w:val="0"/>
          <w:position w:val="0"/>
          <w:sz w:val="24"/>
          <w:shd w:fill="auto" w:val="clear"/>
        </w:rPr>
        <w:t xml:space="preserve">e </w:t>
      </w:r>
      <w:r>
        <w:rPr>
          <w:rFonts w:ascii="Times New Roman" w:hAnsi="Times New Roman" w:cs="Times New Roman" w:eastAsia="Times New Roman"/>
          <w:i/>
          <w:color w:val="000000"/>
          <w:spacing w:val="0"/>
          <w:position w:val="0"/>
          <w:sz w:val="24"/>
          <w:shd w:fill="auto" w:val="clear"/>
        </w:rPr>
        <w:t xml:space="preserve">“dell’imparzialità” </w:t>
      </w:r>
      <w:r>
        <w:rPr>
          <w:rFonts w:ascii="Times New Roman" w:hAnsi="Times New Roman" w:cs="Times New Roman" w:eastAsia="Times New Roman"/>
          <w:color w:val="000000"/>
          <w:spacing w:val="0"/>
          <w:position w:val="0"/>
          <w:sz w:val="24"/>
          <w:shd w:fill="auto" w:val="clear"/>
        </w:rPr>
        <w:t xml:space="preserve">verificare la legittimità degli atti e così contrastare l’illegalità.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cattiva amministrazione si combatte anche tramite: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la trasparenza, che costituisce oggetto di un’apposita sezione del presente P.T.P.C.;</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l’informatizzazione dei processi che consente per tutte le attività dell’amministrazione la tracciabilità dello sviluppo del processo che  riduce quindi il rischio di “blocchi” non controllabili con emersione delle responsabilità per ciascuna fase;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l’accesso telematico ai dati, documenti e procedimenti e il riutilizzo dei dati, documenti e procedimenti che consente l’apertura dell’amministrazione verso l’esterno e, quindi, la diffusione del patrimonio pubblico e il controllo sull’attività da parte dell’utenza;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monitoraggio sul rispetto dei termini procedimentali attraverso il quale emergono eventuali omissioni o ritardi che possono essere sintomo di fenomeni corruttivi.</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2</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Premessa metodologica e soggetti del P.T.P.C.</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legge 6 novembre 2012, n. 190, recante </w:t>
      </w:r>
      <w:r>
        <w:rPr>
          <w:rFonts w:ascii="Times New Roman" w:hAnsi="Times New Roman" w:cs="Times New Roman" w:eastAsia="Times New Roman"/>
          <w:i/>
          <w:color w:val="000000"/>
          <w:spacing w:val="0"/>
          <w:position w:val="0"/>
          <w:sz w:val="24"/>
          <w:shd w:fill="auto" w:val="clear"/>
        </w:rPr>
        <w:t xml:space="preserve">“Disposizioni per la prevenzione e la repressione della corruzione e dell’illegalità nella pubblica amministrazione” </w:t>
      </w:r>
      <w:r>
        <w:rPr>
          <w:rFonts w:ascii="Times New Roman" w:hAnsi="Times New Roman" w:cs="Times New Roman" w:eastAsia="Times New Roman"/>
          <w:color w:val="000000"/>
          <w:spacing w:val="0"/>
          <w:position w:val="0"/>
          <w:sz w:val="24"/>
          <w:shd w:fill="auto" w:val="clear"/>
        </w:rPr>
        <w:t xml:space="preserve">è entrata in vigore il 28 novembre 2012.</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espressa previsione di legge (art. 1, c. 7), negli enti locali il responsabile della prevenzione della corruzione è individuato, di norma, nel segretario comunale, salva diversa e motivata determinazione del Sindaco.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 i compiti del responsabile della prevenzione della corruzione vi è quello di predisporre la proposta di Piano triennale di prevenzione della corruzione (P.T.P.C.).</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Piano Nazionale Anticorruzione è stato approvato dalla CIVIT con deliberazione n. 72 in data 11 settembre 2013.</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L’art. 1, comma 60, della Legge 190/2013, ai fini della definizione del contenuto e dei termini per l’approvazione del P.T.P.C. da parte degli enti locali, rimandava ad un’intesa da raggiungere in sede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Conferenza Unificata Stato-Regioni-Autonomie Locali. Tale intesa è intervenuta in data 24 luglio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2013 e la stessa costituisce base per l’approvazione del presente Piano.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D.Lgs. 14 marzo 2013, n. 33, entrato in vigore il 20 aprile 2013, nel riordinare la disciplina riguardante gli obblighi di pubblicità, trasparenza e diffusione di informazioni da parte delle pubbliche amministrazioni, ha previsto, all’art. 10, che il Programma triennale per la trasparenza e l’integrità (P.T.T.I.), altro strumento di cui le amministrazioni devono dotarsi, costituisca di norma una sezione del Piano di prevenzione della corruzione.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Infatti le misure del Programma triennale che definisce le misure, i modi e le iniziative volti all’attuazione degli obblighi di pubblicazione previsti dalla normativa vigente, ivi comprese le  misure organizzative volte ad assicurare la regolarità e la tempestività dei flussi informativi, sono collegate, sotto l’indirizzo del responsabile, con le misure e gli interventi previsti dal Piano di prevenzione della corruzione.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Gli obblighi di trasparenza costituiscono quindi il presupposto per introdurre e sviluppare il piano di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prevenzione della corruzione.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tale fine il Responsabile della prevenzione della corruzione dovrà strettamente collaborare con il Responsabile della Trasparenza.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Per espressa previsione del decreto legislativo 22/2013 gli obiettivi indicati nel Programma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triennale sono formulati in collegamento con la programmazione strategica e operativa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dell’amministrazione, definita in via generale nel </w:t>
      </w:r>
      <w:r>
        <w:rPr>
          <w:rFonts w:ascii="Times New Roman" w:hAnsi="Times New Roman" w:cs="Times New Roman" w:eastAsia="Times New Roman"/>
          <w:i/>
          <w:color w:val="000000"/>
          <w:spacing w:val="0"/>
          <w:position w:val="0"/>
          <w:sz w:val="24"/>
          <w:shd w:fill="auto" w:val="clear"/>
        </w:rPr>
        <w:t xml:space="preserve">“Piano della performance” </w:t>
      </w:r>
      <w:r>
        <w:rPr>
          <w:rFonts w:ascii="Times New Roman" w:hAnsi="Times New Roman" w:cs="Times New Roman" w:eastAsia="Times New Roman"/>
          <w:color w:val="000000"/>
          <w:spacing w:val="0"/>
          <w:position w:val="0"/>
          <w:sz w:val="24"/>
          <w:shd w:fill="auto" w:val="clear"/>
        </w:rPr>
        <w:t xml:space="preserve">e negli analoghi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strumenti di programmazione previsti negli enti locali.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rinvio è quindi all’art. 169 del TUEL, il cui comma 3-bis, recentemente novellato, prevede che il piano dettagliato degli obiettivi, di cui all’art. 108, comma 1, del presente testo unico e il piano della performance di cui all’articolo 10 del decreto legislativo 27 ottobre 2009, n. 150, sono unificati ora organicamente nel </w:t>
      </w:r>
      <w:r>
        <w:rPr>
          <w:rFonts w:ascii="Times New Roman" w:hAnsi="Times New Roman" w:cs="Times New Roman" w:eastAsia="Times New Roman"/>
          <w:i/>
          <w:color w:val="000000"/>
          <w:spacing w:val="0"/>
          <w:position w:val="0"/>
          <w:sz w:val="24"/>
          <w:shd w:fill="auto" w:val="clear"/>
        </w:rPr>
        <w:t xml:space="preserve">“Piano Esecutivo di Gestione”o atto similare  </w:t>
      </w:r>
      <w:r>
        <w:rPr>
          <w:rFonts w:ascii="Times New Roman" w:hAnsi="Times New Roman" w:cs="Times New Roman" w:eastAsia="Times New Roman"/>
          <w:color w:val="000000"/>
          <w:spacing w:val="0"/>
          <w:position w:val="0"/>
          <w:sz w:val="24"/>
          <w:shd w:fill="auto" w:val="clear"/>
        </w:rPr>
        <w:t xml:space="preserve">atto quest’ultimo la cui competenza è espressamente assegnata alla Giunta Comunale.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Pertanto i soggetti interessati dall’approvazione e dall’attuazione del presente P.T.P.C. sono: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Sindaco e il Consiglio Comunale,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Segretario generale quale responsabile della prevenzione,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responsabile per la trasparenza e l’integrità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 funzionari  responsabili di posizione organizzativa i quali, per il settore di rispettiva competenza: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svolgono attività informativa nei confronti del responsabile, dei referenti e dell’autorità giudiziaria (art. 16 d.lgs. 165 del 2001; art. 20 D.P.R. n. 3 del 1957; art. 1, comma 3, L. 20 del 1994; art. 331 c.p.p.);</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partecipano al processo di gestione del rischio;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propongono le misure di prevenzione (art. 16 D.Lgs. 165 del 2001);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assicurano l’osservanza del Codice di comportamento e verificano le ipotesi di violazione;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adottano le misure gestionali, quali l’avvio di procedimenti disciplinari, la sospensione e rotazione del personale (artt. 16 e 55 bis D.Lgs. 165 del 2001);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osservano le misure contenute nel P.T.P.C. (art. 1, c. 14, L. 190/2012)</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l’Organismo Indipendente di Valutazione (O.I.V.) che: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partecipa al processo di gestione del rischio;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considera i rischi e le azioni inerenti la prevenzione della corruzione nello svolgimento dei compiti ad essi attribuiti;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svolge compiti propri connessi all’attività anticorruzione nel settore della trasparenza amministrativa (art. 43 e 44 D.Lgs. n. 33 del 2013);</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esprime parere obbligatorio sul Codice di comportamento adottato dall’Amministrazione comunale (art. 54, comma 5, D.Lgs. 165 del 2001);</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l’Ufficio Procedimenti Disciplinari (U.P.D.) che: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svolge i procedimenti disciplinari nell’ambito della propria competenza come da apposito Regolamento comunale e da deliberazione di Giunta n° 75  del25.05.2011;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provvede alle comunicazioni obbligatorie nei confronti dell’autorità giudiziaria;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 propone l’aggiornamento del Codice di comportamento;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tutti i dipendenti dell’amministrazione</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partecipano al processo di gestione del rischio;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osservano le misure contenute nel P.T.P.C.</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segnalano le situazioni di illecito al proprio dirigente o all’U.P.D. (art. 54 bis del D.Lgs. 165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del 2001); segnalano casi di personale conflitto di interessi (art. 6 bis L. 241 del 1990;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nonché ai sensi del vigente Codice di comportamento)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i collaboratori a qualsiasi titolo dell’amministrazione</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osservano le misure contenute nel P.T.P.C.;</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segnalano le situazioni di illecito (art. 8 Codice di comportamento)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onere e cura del responsabile della prevenzione definire le modalità e i tempi del raccordo con gli altri organi competenti nell’ambito del P.T.P.C..</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3</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Individuazione del Responsabile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della prevenzione della corruzione è individuato nel Segretario generale giusto provvedimento del Sindaco n 12 del14.06.2013.</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Segretario generale inoltre è il soggetto sostitutivo di cui all’art. 2, comma 9 bis, della legge 7 agosto 1990, n. 241, nominato con atto della Giunta Municipale n° 144  del 07.11.2013</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4</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Mappatura delle attività a più elevato rischio di corruzione dell’ente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Ai sensi dell’art. 1, comma 9, della L. 190/2012, sono individuate quali attività a più elevato rischio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corruzione le seguenti: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rilascio di autorizzazioni e concessioni;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scelta del contraente per l’affidamento di lavori, forniture, servizi, anche con riferimento alla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modalità di selezione prescelta ai sensi del codice dei contratti pubblici relativi a lavori, servizi e forniture, di cui al decreto legislativo 12 aprile 2006, n. 163 e successive modificazioni ed integrazioni;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concessione ed erogazione di sovvenzioni, contributi, sussidi, ausili finanziari, nonché attribuzione di vantaggi economici di qualunque genere a persone ed enti pubblici e privati;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concorsi e prove selettive per l’assunzione del personale e progressioni di carriera di cui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all’art. 24 D.Lgs. 150/2009.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Nonché le seguenti attività:</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esercizio del potere di autotutela di atti amministrativi (revoca/annullamento);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accordi ex-art. 11 legge 7 agosto 1990 n. 241;</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nomina delle commissioni di concorso;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nomina delle commissioni di gara;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elaborazione bandi di gara;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elaborazione bandi di concorso;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progettazione di un servizio o di una fornitura;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 indagini di mercato che precedono la progettazione di un’opera o un servizio;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proroghe o rinnovi di contratti di appalto di forniture e servizi;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 atti di approvazione di varianti in corso d’opera relativi ad appalti di lavori pubblici;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 affidamento di lavori complementari;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 affidamento di incarichi professionali in materia di urbanistica e di opere pubbliche;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 affidamento di incarichi ad avvocati per la difesa in giudizio dell’ente;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 affidamenti diretti, senza gara, di lavori, beni e servizi;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affidamenti diretti, senza gara, di lavori pubblici in casi di urgenza;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 autorizzazione al subappalto di opere pubbliche;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q) sostituzione del contraente in relazione ad operazioni di cessione di azienda;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 liquidazioni e collaudi di opere;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 applicazioni penali in esecuzione del contratto;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 conferimento di incarichi di studio, ricerca e consulenza;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 assegnazione di alloggi di edilizia residenziale pubblica;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 ammissioni a servizi erogati dall’ente;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alienazione di beni immobili e costituzione di diritti reali minori su di essi, o concessione in uso (locazione, comodato) di beni appartenenti al patrimonio disponibile dell’ente;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x) locazioni passive;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 acquisti e permute di immobili e/o di diritti reali minori;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 sponsorizzazioni passive;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aa) convenzioni urbanistiche in attuazione del Piano Regolatore  del territorio o in variante;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bb) programmi integrati di intervento in variante al   Piano Regolatore  del territorio;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cc) varianti al piano   Piano Regolatore  del territorio proposte da privati;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dd)monetizzazioni in luogo della cessione di aree a standard;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ee) attribuzione di bonus volumetrici;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ff) procedimento di formazione, adozione ed approvazione del piano di governo del territorio;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gg) nomine in eventuali e future società pubbliche partecipate;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hh) affidamenti della gestione di servizi pubblici locali;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ii) rapporti di paternariato (project financing, concessioni di costruzione e gestione, leasing in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costruendo, contratto di disponibilità, costituzione di società mista);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jj) affidamenti incarichi ex-art. 110 del TUEL;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kk) controlli in materia di SCIA;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ll) rilascio permessi di costruire;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mm) rilascio autorizzazioni commerciali di media/grande struttura di vendita;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nn) rilascio concessioni cimiteriali;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oo) accertamento e sgravi tributi comunali;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pp) accertamenti con adesione;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qq) accordi bonari in corso di esproprio;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rr) transazioni a chiusura di contenzioso pendente;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ss) procedimenti sanzionatori;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tt) attività di controllo in materia edilizia, ambientale e commerciale;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uu) pagamenti verso imprese;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vv) riscossioni;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ww) utilizzo e consumo di beni comunali da parte del personale.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5</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Meccanismi di formazione, attuazione e controllo delle decisioni idonei a prevenire il</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rischio di corruzione.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Ai sensi dell’art. 1, comma 9, della L. 190/2012, sono individuate le seguenti misure: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nei meccanismi di formazione delle decisioni: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nella trattazione e nell’istruttoria degli atti: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rispettare l’ordine cronologico di protocollo dell’istanza;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predeterminare i criteri di assegnazione delle pratiche ai collaboratori possibilmente tramite attribuzione casuale;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rispettare il divieto di aggravio del procedimento;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distinguere l’attività istruttoria e la relativa responsabilità dall’adozione dell’atto finale, in modo tale che per ogni provvedimento siano coinvolti almeno due soggetti l’istruttore proponente ed il funzionario;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nella formazione dei provvedimenti, con particolare riguardo agli atti con cui si esercita ampia discrezionalità amministrativa e tecnica, motivare adeguatamente l’atto; l’onere di motivazione dovrà essere tanto più diffuso quanto più è ampio il margine di discrezionalità;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per consentire a tutti coloro che vi abbiano interesse di esercitare con pienezza il diritto di accesso e di partecipazione, gli atti dell’ente dovranno ispirarsi ai principi di semplicità e di chiarezza. In particolare dovranno esser scritti con linguaggio semplice e comprensibile a tutti. Tutti gli uffici dovranno riportarsi, per quanto possibile, ad uno stile comune, curando che i provvedimenti conclusivi dei procedimenti riportino nella premessa sia il preambolo che la motivazione.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preambolo è composto dalla descrizione del procedimento svolto, con l’indicazione di tutti gli atti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prodotti e di cui si è tenuto conto per arrivare alla decisione finale, in modo da consentire a tutti coloro che vi abbiano interesse a ricostruire il procedimento amministrativo seguito. La motivazione indica i presupposti di fatto e le ragioni giuridiche che hanno determinato la decisione,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sulla base dell’istruttoria. La motivazione dovrà essere il più possibile precisa, chiara e completa. Ai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sensi dell’art. 6-bis della legge 241/90, come aggiunto dall’art. 1 L. 190/2012, il responsabile del  procedimento e i titolari degli uffici competenti ad adottare i pareri, le valutazioni tecniche, gli atti endoprocedimentali ed il provvedimento finale devono astenersi in caso di conflitto di interessi, segnalando ogni situazione di conflitto, anche potenziale, dando comunicazione al responsabile della prevenzione della corruzione;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per facilitare i rapporti tra i cittadini e l’amministrazione, sul sito istituzionale devono essere pubblicati i moduli di presentazione di istanze, richieste e ogni altro atto di impulso del procedimento, con l’elenco degli atti da produrre e/o allegare all’istanza;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nella comunicazione del nominativo del responsabile del procedimento dovrà essere indicato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l’indirizzo mail a cui rivolgersi e il titolare del potere sostitutivo ex art. 2 comma 9 bis della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Legge 241/90 (individuato nel Segretario generale in caso di mancata risposta);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nell’attività contrattuale: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rispettare il divieto di frazionamento o innalzamento artificioso dell’importo contrattuale;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ridurre l’area degli affidamenti diretti ai soli casi ammessi dalla legge e/o dal regolamento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comunale solo nei casi in cui non sia possibile utilizzare gli acquisti a mezzo CONSIP e/o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del mercato elettronico della pubblica amministrazione (MEPA);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assicurare la rotazione tra le imprese affidatarie dei contratti assegnati in economia;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assicurare la rotazione tra i professionisti negli affidamenti di incarichi di importo inferiore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alla soglia della procedura aperta;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assicurare il confronto concorrenziale, definendo requisiti di partecipazione alle gare, anche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ufficiose, e di valutazione delle offerte, chiari ed adeguati;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allocare correttamente il rischio di impresa nei rapporti di partenariato;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verificare la congruità dei prezzi di acquisto di beni e servizi effettuati al di fuori del mercato elettronico della pubblica amministrazione;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verificare la congruità dei prezzi di acquisto di cessione e/o di acquisto di beni immobili o costituzione/cessione di diritti reali minori;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validare i progetti definitivi ed esecutivi delle opere pubbliche e sottoscrivere i verbali di cantierabilità;</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acquisire preventivamente i piani di sicurezza e vigilare sulla loro applicazione.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negli atti di erogazione dei contributi, nell’ammissione ai servizi, nell’assegnazione degli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alloggi: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predeterminare ed enunciare nel provvedimento i criteri di erogazione, ammissione 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assegnazione;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 nel conferimento degli incarichi di consulenza, studio e ricerca a soggetti esterni: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acquisire la dichiarazione resa con la quale si attesta la carenza di professionalità interne;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far precedere le nomine presso enti, aziende, società, istituzioni dipendenti dal comune da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una procedura ad evidenza pubblica;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 nell’attribuzione di premi ed incarichi al personale dipendente operare con procedure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selettive;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 i componenti le commissioni di concorso e di gara dovranno rendere all’atto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dell’insediamento dichiarazione di non trovarsi in rapporti di parentela o di lavoro 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professionali con i partecipanti alla gara od al concorso nonché rendere la dichiarazione di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cui all’art. 35-bis del D.Lgs. 165/2001;</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 in materia di pianificazione territoriale occorre ampliare gli ambiti di partecipazione al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procedimento secondo il modello del “dibattito pubblico” coinvolgendo i cittadini fin dalle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fasi iniziali del progetto, e quindi ben prima che il progetto finale sia stato selezionato, ed in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particolare far precedere l’adozione del provvedimento pubblico in materia urbanistica, 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l’approvazione degli accordi sostitutivi di procedimento od endoprocedimentali in materia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urbanistica, dalla pubblicazione sul sito web comunale degli schemi di provvedimento, ed 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relativi allegati tecnici, prima che siano portati all’adozione/approvazione dell’organo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competente (e comunque almeno 10 gg prima);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nei meccanismi di attuazione delle decisioni (la tracciabilità delle attività):</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istituire e/o aggiornare l’Albo dei fornitori,;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redigere il funzionigramma dell’ente in modo dettagliato ed analitico per definire con chiarezza i ruoli e compiti di ogni ufficio con l’attribuzione di ciascun procedimento o sub procedimento ad un responsabile predeterminato o predeterminabile;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completare la digitalizzazione dell’attività amministrativa in modo da assicurare la totale trasparenza e tracciabilità;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provvedere alla revisione dei procedimenti amministrativi di competenza dell’ente per eliminare le fasi inutili e ridurre i costi per famiglie ed imprese;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offrire la possibilità di un accesso on line a tutti i servizi dell’ente con la possibilità per il cittadino di monitorare lo stato di attuazione del procedimento che lo riguarda;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rilevare i tempi medi dei pagamenti;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rilevare i tempi medi di conclusione dei procedimenti;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vigilare sull’esecuzione dei contratti di appalto dei lavori, beni e servizi, ivi compresi i contratti d’opera professionale, e sull’esecuzione dei contratti per l’affidamento della gestione dei servizi pubblici locali, ivi compresi i contratti con le società in house, con applicazione, se del caso, delle penali, delle clausole risolutive e con la proposizione dell’azione per l’inadempimento e/o di danno;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predisporre registri per l’utilizzo dei beni dell’amministrazione.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meccanismi di controllo delle decisioni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attuare il rispetto della distinzione dei ruoli tra dirigenti ed organi politici, come definito dagli artt. 78, comma 1 e 107 del TUEL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rispetto puntuale delle procedure previste nel regolamento sul funzionamento dei controlli interni in vigore.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6</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Obblighi di informazione del funzionario capo settore e delle posizioni organizzative nei</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confronti del responsabile della prevenzione della corruzione.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Ai sensi dell’art. 1 comma 9 della L. 190/2012 sono individuate le seguenti misure: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ciascun incaricato di  posizione organizzativa, con riguardo ai procedimenti di competenza del Settore  cui è preposto, provvede a comunicare ogni semestre (nei mesi di gennaio e luglio) al responsabile della prevenzione della corruzione, l’elenco dei procedimenti conclusi oltre il termine previsto dalla legge o dal regolamento, e la rilevazione del tempo medio di conclusione dei procedimenti distinto per tipologia di procedimento;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ciascun titolare di   di posizione organizzativa con riguardo ai procedimenti di competenza del Settore   cui è preposto provvede a comunicare ogni semestre (nei mesi di gennaio e luglio) al responsabile della prevenzione della corruzione, l’elenco dei procedimenti conclusi con un diniego;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ciascun titolare di incarico di   posizione organizzativa ha l’obbligo di dotarsi di uno scadenziario dei contratti di competenza del Settore cui è preposto, al fine di evitare di dover accordare proroghe nonché provvede a comunicare ogni semestre (nei mesi di gennaio e luglio) al responsabile della prevenzione della corruzione, l’elenco dei contratti rinnovati o prorogati e le ragioni 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giustificazione della proroga;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ciascun titolare di  posizione organizzativa provvede a comunicare ogni semestre (nei mesi di gennaio e luglio) al responsabile della prevenzione della corruzione, l’elenco dei contratti sopra soglia affidati con procedura negoziata e le ragioni a giustificazione dell’affidamento;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ciascun titolare di posizione organizzativa provvede a comunicare ogni semestre (nei mesi di gennaio e luglio) al responsabile della prevenzione della corruzione, l’elenco dei procedimenti per i quali si è reso necessario disporre una sospensione dei termini per l’integrazione documentale;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l’incaricato di capo settore dei servizi finanziari, provvede a comunicare ogni quadrimestre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(nei mesi di gennaio, maggio e settembre) al responsabile della prevenzione della corruzione, l’elenco dei pagamenti effettuati oltre il termine di legge o di contratto;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ciascun titolare di incarico di posizione organizzativa provvede a comunicare ogni semestre (nei mesi di gennaio e luglio) al responsabile della prevenzione della corruzione, l’elenco dei contratti con riferimento ai quali abbia provveduto a novazioni, addizioni, varianti, applicazione di penali o risoluzione anticipata.</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7</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Monitoraggio del rispetto dei termini, previsti dalla legge o dai regolamenti, per la</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conclusione dei procedimenti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Ai sensi dell’art. 1, comma 9 della L. 190/2012 sono individuate le seguenti misure: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monitoraggio del rispetto dei termini di conclusione dei procedimenti sarà inserito nel piano della performance;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rispetto dei termini di conclusione dei procedimenti sarà oggetto di verifica anche in sede di esercizio dei controlli di regolarità amministrativa.</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8</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Responsabili di posizioni organizzativa e i dipendenti dell’amministrazione.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Ai sensi dell’art. 1, comma 9, della L. 190/2012 sono individuate le seguenti misure: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il responsabile del procedimento ha l’obbligo di acquisire una specifica dichiarazione, redatta nelle forme di cui all’art. 45 del DPR 445/2000, con la quale, chiunque si rivolge all’Amministrazione comunale per proporre una proposta/progetto di partenariato pubblico/privato, una proposta contrattuale, una proposta di sponsorizzazione, una proposta di convenzione o di accordo procedimentale, una richiesta di contributo o comunque intenda presentare un’offerta relativa a contratti di qualsiasi tipo, dichiara l’insussistenza di rapporti di parentela entro il quarto  grado, di convivenza di fatto o di altri vincoli anche di lavoro o professionali, in corso o riferibili ai due anni precedenti, con gli amministratori, il segretario generale,  e gli incaricati di posizione organizzativa dell’ente;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l’incaricato di posizione organizzativa in ogni provvedimento che assume deve dichiarare nelle premesse dell’atto di aver verificato l’insussistenza dell’obbligo di astensione e di non essere quindi in posizione di conflitto di interesse.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Nell’ambito delle procedure volte all’aggiudicazione di un’opera pubblica, di un servizio o di una fornitura di beni, i soggetti privati interessati devono rendere la dichiarazione di non trovarsi nella situazione di cui all’art. 53, comma 16 ter del D.Lgs. 165/2001; medesima dichiarazione è da ribadire nell’ambito dell’atto pubblico con il quale vengono disciplinati i rapporti tra il Comune committente e l’aggiudicatario.</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9</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Rotazione degli incarichi.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tutti gli uffici individuati come aree a rischio corruzione, sia per le qualifiche di capo settore che per i dipendenti, garantendo l’ informativa sindacale, allorché è possibile garantire la fungibilità professionale, dovrà essere disposta, previa adeguata formazione, la rotazione degli incarichi, in modo che nessun soggetto sia titolare dell’ufficio per un periodo superiore a un quadriennio,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quadriennio decorre dalla data di approvazione del presente provvedimento.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i capi settore la rotazione è disposta dal segretario generale su proposta dell’organo esecutivo, quale atto di indirizzo politico.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provvedimenti di rotazione sono comunicati al responsabile della prevenzione, che provvede alla pubblicazione sul sito dell’ente.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Nel caso in cui nell’ente non vi sia possibilità di rotazione per una o più posizioni a rischio di corruzione, viene stilato apposito verbale a firma del capo settore o del responsabile p.o. e dal Segretario generale evidenziando i motivi dell’impossibilità. Per le posizioni così individuate, il responsabile della prevenzione provvede a definire dei meccanismi rafforzati di controllo, all’interno dei procedimenti di controllo interno e, all’interno del sito dell’ente, viene predisposta apposita sezione di verifica degli atti su base statistica.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mobilità volontaria è individuata quale strumento utile a contemperare le esigenze di prevenzione della corruzione con lo sviluppo professionale/esperienziale dei singoli dipendenti.</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L’attivazione di rapporti ex art. 110 del TUEL con soggetti non di ruolo, fermo restando le situazioni di inconferibilità ed incompatibilità ex D.LGs. 39/2013, deve essere preceduta da selezione </w:t>
      </w:r>
      <w:r>
        <w:rPr>
          <w:rFonts w:ascii="Times New Roman" w:hAnsi="Times New Roman" w:cs="Times New Roman" w:eastAsia="Times New Roman"/>
          <w:i/>
          <w:color w:val="000000"/>
          <w:spacing w:val="0"/>
          <w:position w:val="0"/>
          <w:sz w:val="24"/>
          <w:shd w:fill="auto" w:val="clear"/>
        </w:rPr>
        <w:t xml:space="preserve">curriculare.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L’attivazione dei rapporti ex art. 90 del TUEL per uffici di </w:t>
      </w:r>
      <w:r>
        <w:rPr>
          <w:rFonts w:ascii="Times New Roman" w:hAnsi="Times New Roman" w:cs="Times New Roman" w:eastAsia="Times New Roman"/>
          <w:i/>
          <w:color w:val="000000"/>
          <w:spacing w:val="0"/>
          <w:position w:val="0"/>
          <w:sz w:val="24"/>
          <w:shd w:fill="auto" w:val="clear"/>
        </w:rPr>
        <w:t xml:space="preserve">staff</w:t>
      </w:r>
      <w:r>
        <w:rPr>
          <w:rFonts w:ascii="Times New Roman" w:hAnsi="Times New Roman" w:cs="Times New Roman" w:eastAsia="Times New Roman"/>
          <w:color w:val="000000"/>
          <w:spacing w:val="0"/>
          <w:position w:val="0"/>
          <w:sz w:val="24"/>
          <w:shd w:fill="auto" w:val="clear"/>
        </w:rPr>
        <w:t xml:space="preserve">, fermo restando la natura fiduciaria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del rapporto, è soggetta all’inconferibilità di cui all’art. 3 D.Lgs. 39/2013.</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10</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Formazione del personale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della prevenzione della corruzione procederà a predisporre il programma di formazione per i dipendenti addetti ai servizi cui afferiscono i procedimenti indicati al precedente art. 4. Tale programma potrà essere sviluppato anche in forma associata con altri comuni e/o unioni di comuni.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programma verrà finanziato con le risorse di cui all’art. 23 del CCNL 1/4/99, previa comunicazione alle OO.SS. e alla RSU e, trattandosi di formazione obbligatoria, anche in deroga ai limiti di spesa ex-art. 6, comma 13 D.L. 78/2010.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Nell’ambito del programma saranno previste delle giornate di formazione aventi come tema la prevenzione e la repressione della corruzione e della illegalità nella pubblica amministrazione destinate a tutto il personale.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11</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Incarichi incompatibilità, cumulo di impieghi e incarichi ai dipendenti pubblici.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 possono essere conferiti ai dipendenti incarichi, non compresi nei compiti e doveri d’ufficio, che non siano espressamente previsti o disciplinati da leggi o altre forme normative, o che non siano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espressamente autorizzati.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ogni caso, il conferimento operato direttamente dall’amministrazione, nonché l’autorizzazione all’esercizio di incarichi che provengano da amministrazione pubblica diversa da quella di appartenenza, ovvero da altri enti pubblici o privati o persone fisiche, che svolgono attività d’impresa o commerciale, sono disposti dal Responsabile di Settore. Per i responsabili di Settore sono disposti dal Segretario generale. Per il segretario generale l’autorizzazione è disposta dal Sindaco.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Nel provvedimento di conferimento o di autorizzazione dovrà darsi atto che lo svolgimento dell’incarico non comporti alcuna incompatibilità, sia di diritto che di fatto, nell’interesse del buon andamento della pubblica amministrazione né situazione di conflitto, anche potenziale, di interessi che pregiudichino l’esercizio imparziale delle funzioni attribuite al dipendente.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Nel caso in cui un dipendente svolga incarichi retribuiti che non siano stati conferiti o previamente autorizzati dall’amministrazione di appartenenza, salve le più gravi sanzioni e ferma restando la responsabilità disciplinare, il compenso dovuto per le prestazioni eventualmente svolte deve essere versato all’ente per essere destinato ad incremento del fondo del salario accessorio. L’omissione del versamento del compenso da parte del dipendente pubblico indebito percettore costituisce ipotesi di responsabilità erariale soggetta alla giurisdizione della Corte dei Conti.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sede di prima applicazione del presente piano, entro 30 giorni dalla sua approvazione, i dipendenti che svolgano incarichi precedentemente conferiti o autorizzati devono darne comunicazione al responsabile della prevenzione, che provvederà alla verifica delle possibili incompatibilità ai sensi delle nuove disposizioni, nonché alla pubblicazione nell’apposita sezione del sito.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dipendenti che cessano dal servizio, nei tre anni successivi alla cessazione, non possono svolgere attività lavorativa o professionale presso i soggetti privati destinatari di provvedimenti emessi o di atti negoziali assunti dall’ufficio cui è appartenuto il dipendente negli ultimi tre anni di servizio. In caso di violazione di questa disposizione, i contratti conclusi e gli incarichi conferiti sono nulli e i soggetti privati che li hanno conclusi o conferiti non potranno avere rapporti contrattuali né affidamenti da parte dell’ente per i successivi tre anni con obbligo di restituzione dei compensi eventualmente percepiti e accertati.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Entro 15 giorni dall’erogazione del compenso per gli incarichi conferiti o autorizzati i soggetti pubblici e privati devono comunicare all’ufficio del personale l’ammontare dei compensi erogati ai dipendenti pubblici.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Entro 15 giorni dal conferimento o autorizzazione dell’incarico, anche a titolo gratuito a dipendenti dell’ente, l’ufficio personale comunica per via telematica al Dipartimento della Funzione Pubblica gli incarichi conferiti o autorizzati ai dipendenti stessi indicando: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l’oggetto dell’incarico;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il compenso lordo, ove previsto;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le norme in applicazione delle quali gli incarichi sono stati conferiti o autorizzati, le ragioni del       conferimento o dell’autorizzazione;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 criteri di scelta dei dipendenti cui gli incarichi sono stati conferiti o autorizzati;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la rispondenza dei medesimi ai principi di buon andamento dell’amministrazione, le misure che si intendono adottare per il contenimento della spesa.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Comunque, entro il 30 giugno di ogni anno: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nel caso in cui non siano stati conferiti incarichi a dipendenti dell’ente, anche se comandati o fuori ruolo, l’ufficio del personale dovrà produrre in via telematica al Dipartimento della Funzione Pubblica apposita dichiarazione in tal senso;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nel caso in cui, invece, siano stati conferiti o autorizzati incarichi, l’ufficio personale provvederà a comunicare al Dipartimento della Funzione Pubblica, in via telematica, o su apposito supporto magnetico, per ciascuno dei propri dipendenti e distintamente per ogni incarico conferito o autorizzato, i compensi relativi all’anno precedente, erogati dall’ente o comunicati dai soggetti che hanno conferito l’incarico;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l’ufficio personale provvederà a comunicare al Dipartimento della Funzione Pubblica, per via telematica o su supporto magnetico, i compensi percepiti dai dipendenti dell’ente anche per incarichi relativi a compiti e doveri d’ufficio;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inoltre provvederà a comunicare semestralmente l’elenco dei collaboratori esterni e dei soggetti cui sono stati affidati incarichi di consulenza, con l’indicazione della ragione dell’incarico e dell’ammontare dei compensi corrisposti.</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12</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Vigilanza sul rispetto delle disposizioni in materia di inconferibilità e incompatibilità di incarichi presso le pubbliche amministrazioni e presso gli enti privati in controllo pubblico, a norma dell’art. 1, commi 49 e 50 della legge 6 novembre 2012, n. 190.</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 piano anticorruzione cura che nell’ente siano rispettate le disposizioni del  decreto legislativo 8 aprile 2013 n. 39 sull’inconferibilità e incompatibilità degli incarichi con riguardo ad amministratori e dirigenti.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tale fine il responsabile contesta all’interessato l’esistenza o l’insorgere delle situazioni di inconferibilità o incompatibilità di cui al decreto citato.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All’atto del conferimento dell’incarico l’interessato presenta una dichiarazione sulla insussistenza di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una delle cause di inconferibilità di cui al decreto citato.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Nel corso dell’incarico lo stesso Segretario generale, i Responsabili di P.O. presentano annualmente una dichiarazione sull’insussistenza di una delle cause di incompatibilità. Le dichiarazioni suddette sono pubblicate nel sito web comunale. La dichiarazione è condizione </w:t>
      </w:r>
      <w:r>
        <w:rPr>
          <w:rFonts w:ascii="Times New Roman" w:hAnsi="Times New Roman" w:cs="Times New Roman" w:eastAsia="Times New Roman"/>
          <w:color w:val="auto"/>
          <w:spacing w:val="0"/>
          <w:position w:val="0"/>
          <w:sz w:val="24"/>
          <w:shd w:fill="auto" w:val="clear"/>
        </w:rPr>
        <w:t xml:space="preserve">perl’acquisizione</w:t>
      </w:r>
      <w:r>
        <w:rPr>
          <w:rFonts w:ascii="Times New Roman" w:hAnsi="Times New Roman" w:cs="Times New Roman" w:eastAsia="Times New Roman"/>
          <w:color w:val="000000"/>
          <w:spacing w:val="0"/>
          <w:position w:val="0"/>
          <w:sz w:val="24"/>
          <w:shd w:fill="auto" w:val="clear"/>
        </w:rPr>
        <w:t xml:space="preserve"> dell’efficacia dell’incarico.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Sindaco contesta l’esigenza o l’insorgere delle situazioni di inconferibilità o incompatibilità relative al Segretario generale.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13</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Codice di comportamento e responsabilità disciplinare.</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 tale provvedimento si recepisce il Codice di Comportamento dei dipendenti pubblici richiamato dal D.P.R. 16 aprile 2013 n. 62 e pubblicato sulla G.U. 4 giugno 2013 n. </w:t>
      </w:r>
      <w:r>
        <w:rPr>
          <w:rFonts w:ascii="Times New Roman" w:hAnsi="Times New Roman" w:cs="Times New Roman" w:eastAsia="Times New Roman"/>
          <w:color w:val="auto"/>
          <w:spacing w:val="0"/>
          <w:position w:val="0"/>
          <w:sz w:val="24"/>
          <w:shd w:fill="auto" w:val="clear"/>
        </w:rPr>
        <w:t xml:space="preserve">129.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codice di comportamento sarà pubblicato sul sito e consegnato a tutti insieme al piano di prevenzione della corruzione e verrà pubblicato sul sito del Comune.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sede di prima applicazione del presente piano, entro 60 giorni il responsabile della prevenzione provvede a consegnare il codice di comportamento e il piano di prevenzione della corruzione a tutti i dipendenti in servizio, con strumenti elettronici (posta elettronica) e, solo ove non possibile, su supporto cartaceo.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Uguale procedura dovrà essere seguita nel caso di modifiche al codice di comportamento o al piano di prevenzione della corruzione.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dell’ufficio procedimenti disciplinari provvederà a perseguire i dipendenti che dovessero incorrere in violazioni dei doveri di comportamento, ivi incluso il dovere di rispettare le prescrizioni contenute nel presente Piano, attivando i relativi procedimenti disciplinari, dandone notizia al responsabile della prevenzione.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fin da ora introdotto il divieto per dipendenti e responsabili di posizione organizzativa di accettare regali di importo superiore ad € 100,00 (cento/00) annui.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fin da ora introdotto l’obbligo per il dipendente di astenersi dal partecipare all’adozione di decisioni o ad attività che possano coinvolgere interessi propri, ovvero dei propri parenti, affini entro il quarto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dipendente, inoltre,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14</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Tutela del dipendente pubblico che segnala illeciti.</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pubblico dipendente che denuncia all’autorità giudiziaria o alla Corte dei Conti, ovvero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 (art. 1, comma 51, legge 190/2012).</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Nell’ambito del procedimento disciplinare, l’identità del segnalante può essere rivelata solo ove la sua conoscenza sia assolutamente indispensabile per la difesa dell’incolpato.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denuncia è sottratta all’accesso previsto dagli artt. 22 e seguenti della legge 7 agosto 1990, n. 241.</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Titolo II Programma triennale per l’integrità e la trasparenza</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Introduzione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Recente legislazione (D. Lgs. 150/2009, L. 190/2012, D.Lgs. 33/2013) ha affrontato la tematica relativa all’applicazione effettiva dei principi di pubblicità e trasparenza di cui all’art. 1 della Legge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241/1990 nel rispetto dell’art. 97 della Costituzione Italiana.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trasparenza favorisce la partecipazione dei cittadini all’attività delle pubbliche amministrazioni ed è funzionale a tre scopi: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sottoporre al controllo diffuso ogni fase del ciclo di gestione della performance per consentirne il miglioramento;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assicurare la conoscenza, da parte dei cittadini, dei servizi resi alle amministrazioni, delle loro caratteristiche quantitative e qualitative nonché delle loro modalità di erogazione;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prevenire fenomeni corruttivi e promuovere l’integrità.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Comune si impegna ad applicare la metodologia della </w:t>
      </w:r>
      <w:r>
        <w:rPr>
          <w:rFonts w:ascii="Times New Roman" w:hAnsi="Times New Roman" w:cs="Times New Roman" w:eastAsia="Times New Roman"/>
          <w:i/>
          <w:color w:val="000000"/>
          <w:spacing w:val="0"/>
          <w:position w:val="0"/>
          <w:sz w:val="24"/>
          <w:shd w:fill="auto" w:val="clear"/>
        </w:rPr>
        <w:t xml:space="preserve">customer satisfation </w:t>
      </w:r>
      <w:r>
        <w:rPr>
          <w:rFonts w:ascii="Times New Roman" w:hAnsi="Times New Roman" w:cs="Times New Roman" w:eastAsia="Times New Roman"/>
          <w:color w:val="000000"/>
          <w:spacing w:val="0"/>
          <w:position w:val="0"/>
          <w:sz w:val="24"/>
          <w:shd w:fill="auto" w:val="clear"/>
        </w:rPr>
        <w:t xml:space="preserve">nell’erogazione dei servizi alla Comunità.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 tale Programma vengono adeguate alla realtà organizzativa del Comune le prescrizioni del D.Lgs. 33/2013 e le indicazioni della Civit nella consapevolezza che tale strumento non vuole essere solo un ossequio formale alla norma ma un contributo sostanziale all’effettiva apertura della struttura pubblica comunale all’esterno.</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Soggetti ed organizzazione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della Trasparenza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della Trasparenza del Comune viene individuato con decreto del Sindaco, in assenza le relative funzioni verranno svolte dal Responsabile della Corruzione.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della Trasparenza: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provvede alla redazione della proposta di approvazione e di aggiornamento del Programma triennale per la trasparenza e l’integrità;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svolge stabilmente un’attività di controllo sull’adempimento da parte dell’amministrazione degli obblighi di pubblicazione previsti dalla normativa vigente, assicurando la completezza, la chiarezza e l’aggiornamento delle informazioni pubblicate;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segnala all’organo di indirizzo politico, all’Organismo Indipendente di Valutazione (OIV),</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all’Autorità nazionale anticorruzione e, nei casi più gravi, all’ufficio di disciplina i casi di mancato o ritardato adempimento degli obblighi di pubblicazione.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della Trasparenza si avvale in particolare del Servizio Affari Generali, Ufficio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Segreteria e U.R.P. per l’aggiornamento e la verifica dei dati e delle informazioni sull’Albo </w:t>
      </w:r>
      <w:r>
        <w:rPr>
          <w:rFonts w:ascii="Times New Roman" w:hAnsi="Times New Roman" w:cs="Times New Roman" w:eastAsia="Times New Roman"/>
          <w:i/>
          <w:color w:val="000000"/>
          <w:spacing w:val="0"/>
          <w:position w:val="0"/>
          <w:sz w:val="24"/>
          <w:shd w:fill="auto" w:val="clear"/>
        </w:rPr>
        <w:t xml:space="preserve">on-line </w:t>
      </w:r>
      <w:r>
        <w:rPr>
          <w:rFonts w:ascii="Times New Roman" w:hAnsi="Times New Roman" w:cs="Times New Roman" w:eastAsia="Times New Roman"/>
          <w:color w:val="000000"/>
          <w:spacing w:val="0"/>
          <w:position w:val="0"/>
          <w:sz w:val="24"/>
          <w:shd w:fill="auto" w:val="clear"/>
        </w:rPr>
        <w:t xml:space="preserve">e sul sito istituzionale al </w:t>
      </w:r>
      <w:r>
        <w:rPr>
          <w:rFonts w:ascii="Times New Roman" w:hAnsi="Times New Roman" w:cs="Times New Roman" w:eastAsia="Times New Roman"/>
          <w:i/>
          <w:color w:val="000000"/>
          <w:spacing w:val="0"/>
          <w:position w:val="0"/>
          <w:sz w:val="24"/>
          <w:shd w:fill="auto" w:val="clear"/>
        </w:rPr>
        <w:t xml:space="preserve">link </w:t>
      </w:r>
      <w:r>
        <w:rPr>
          <w:rFonts w:ascii="Times New Roman" w:hAnsi="Times New Roman" w:cs="Times New Roman" w:eastAsia="Times New Roman"/>
          <w:color w:val="000000"/>
          <w:spacing w:val="0"/>
          <w:position w:val="0"/>
          <w:sz w:val="24"/>
          <w:shd w:fill="auto" w:val="clear"/>
        </w:rPr>
        <w:t xml:space="preserve">Amministrazione Trasparente.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dirigenti ed i responsabili degli uffici garantiscono il tempestivo e regolare flusso delle informazioni da pubblicare ai fini del rispetto dei termini stabiliti dalla legge.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L’OIV (Organismo Indipendente di Valutazione)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L’OIV verifica la coerenza tra gli obiettivi previsti nel Programma triennale per la trasparenza e l’integrità e quelli indicati nel Piano della </w:t>
      </w:r>
      <w:r>
        <w:rPr>
          <w:rFonts w:ascii="Times New Roman" w:hAnsi="Times New Roman" w:cs="Times New Roman" w:eastAsia="Times New Roman"/>
          <w:i/>
          <w:color w:val="000000"/>
          <w:spacing w:val="0"/>
          <w:position w:val="0"/>
          <w:sz w:val="24"/>
          <w:shd w:fill="auto" w:val="clear"/>
        </w:rPr>
        <w:t xml:space="preserve">performance </w:t>
      </w:r>
      <w:r>
        <w:rPr>
          <w:rFonts w:ascii="Times New Roman" w:hAnsi="Times New Roman" w:cs="Times New Roman" w:eastAsia="Times New Roman"/>
          <w:color w:val="000000"/>
          <w:spacing w:val="0"/>
          <w:position w:val="0"/>
          <w:sz w:val="24"/>
          <w:shd w:fill="auto" w:val="clear"/>
        </w:rPr>
        <w:t xml:space="preserve">valutando altresì l’adeguatezza dei relativi indicatori.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L’OIV utilizza le informazioni e i dati relativi all’attuazione degli obblighi di trasparenza ai fini della misurazione e valutazione delle performance sia organizzativa, sia individuale del responsabile e dei dirigenti dei singoli uffici responsabili della trasmissione dei dati.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particolare l’OIV:</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è responsabile della corretta applicazione delle linee guida della CIVIT (ora ANAC);</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monitora il funzionamento complessivo del sistema della valutazione, della trasparenza e integrità, dei controlli interni ed elaborano una Relazione annuale sullo stato dello stesso;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promuove ed attesta l’assolvimento degli obblighi di trasparenza.</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Contenuti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Ai fini della piena accessibilità delle informazioni pubblicate, nella </w:t>
      </w:r>
      <w:r>
        <w:rPr>
          <w:rFonts w:ascii="Times New Roman" w:hAnsi="Times New Roman" w:cs="Times New Roman" w:eastAsia="Times New Roman"/>
          <w:i/>
          <w:color w:val="000000"/>
          <w:spacing w:val="0"/>
          <w:position w:val="0"/>
          <w:sz w:val="24"/>
          <w:shd w:fill="auto" w:val="clear"/>
        </w:rPr>
        <w:t xml:space="preserve">home page </w:t>
      </w:r>
      <w:r>
        <w:rPr>
          <w:rFonts w:ascii="Times New Roman" w:hAnsi="Times New Roman" w:cs="Times New Roman" w:eastAsia="Times New Roman"/>
          <w:color w:val="000000"/>
          <w:spacing w:val="0"/>
          <w:position w:val="0"/>
          <w:sz w:val="24"/>
          <w:shd w:fill="auto" w:val="clear"/>
        </w:rPr>
        <w:t xml:space="preserve">del sito istituzionale è collocata un’apposita sezione denominata “Amministrazione Trasparente”, al cui interno sono contenuti i seguenti dati, informazioni e documenti pubblicati ai sensi della normativa vigente.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Disposizioni generali</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Organizzazione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Personale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Performance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Enti Controllati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Attività e procedimenti</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Provvedimenti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Bilanci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Beni immobili e gestione patrimonio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Servizi Erogati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Pagamenti dell'amministrazione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Altri contenuti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Rapporti con Piano triennale anticorruzione e con ciclo della </w:t>
      </w:r>
      <w:r>
        <w:rPr>
          <w:rFonts w:ascii="Times New Roman" w:hAnsi="Times New Roman" w:cs="Times New Roman" w:eastAsia="Times New Roman"/>
          <w:b/>
          <w:i/>
          <w:color w:val="000000"/>
          <w:spacing w:val="0"/>
          <w:position w:val="0"/>
          <w:sz w:val="24"/>
          <w:shd w:fill="auto" w:val="clear"/>
        </w:rPr>
        <w:t xml:space="preserve">performance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collegamento fra il Piano di prevenzione della corruzione e il Programma triennale per la trasparenza è assicurato dal Responsabile della trasparenza le cui funzioni, secondo quanto previsto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dall’art. 43, c. 1, D.Lgs. 33/2013.</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misure del Programma triennale della trasparenza e dell’integrità sono collegate al Piano triennale della prevenzione della corruzione e, a tal fine, il Programma costituirà una sezione di detto Piano.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collegamento fra il ciclo della </w:t>
      </w:r>
      <w:r>
        <w:rPr>
          <w:rFonts w:ascii="Times New Roman" w:hAnsi="Times New Roman" w:cs="Times New Roman" w:eastAsia="Times New Roman"/>
          <w:i/>
          <w:color w:val="000000"/>
          <w:spacing w:val="0"/>
          <w:position w:val="0"/>
          <w:sz w:val="24"/>
          <w:shd w:fill="auto" w:val="clear"/>
        </w:rPr>
        <w:t xml:space="preserve">performance </w:t>
      </w:r>
      <w:r>
        <w:rPr>
          <w:rFonts w:ascii="Times New Roman" w:hAnsi="Times New Roman" w:cs="Times New Roman" w:eastAsia="Times New Roman"/>
          <w:color w:val="000000"/>
          <w:spacing w:val="0"/>
          <w:position w:val="0"/>
          <w:sz w:val="24"/>
          <w:shd w:fill="auto" w:val="clear"/>
        </w:rPr>
        <w:t xml:space="preserve">ed il Programma triennale per la trasparenza è assicurato nell’ambito della predisposizione ed attuazione del Piano della </w:t>
      </w:r>
      <w:r>
        <w:rPr>
          <w:rFonts w:ascii="Times New Roman" w:hAnsi="Times New Roman" w:cs="Times New Roman" w:eastAsia="Times New Roman"/>
          <w:i/>
          <w:color w:val="000000"/>
          <w:spacing w:val="0"/>
          <w:position w:val="0"/>
          <w:sz w:val="24"/>
          <w:shd w:fill="auto" w:val="clear"/>
        </w:rPr>
        <w:t xml:space="preserve">performance </w:t>
      </w:r>
      <w:r>
        <w:rPr>
          <w:rFonts w:ascii="Times New Roman" w:hAnsi="Times New Roman" w:cs="Times New Roman" w:eastAsia="Times New Roman"/>
          <w:color w:val="000000"/>
          <w:spacing w:val="0"/>
          <w:position w:val="0"/>
          <w:sz w:val="24"/>
          <w:shd w:fill="auto" w:val="clear"/>
        </w:rPr>
        <w:t xml:space="preserve">approvato secondo i contenuti ed i termini di cui al Sistema di Valutazione e Misurazione approvato.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tale fine il Piano Annuale degli Obiettivi (PdO) dovrà prevedere almeno un obiettivo di performance organizzativa migliorativa degli </w:t>
      </w:r>
      <w:r>
        <w:rPr>
          <w:rFonts w:ascii="Times New Roman" w:hAnsi="Times New Roman" w:cs="Times New Roman" w:eastAsia="Times New Roman"/>
          <w:i/>
          <w:color w:val="000000"/>
          <w:spacing w:val="0"/>
          <w:position w:val="0"/>
          <w:sz w:val="24"/>
          <w:shd w:fill="auto" w:val="clear"/>
        </w:rPr>
        <w:t xml:space="preserve">standards </w:t>
      </w:r>
      <w:r>
        <w:rPr>
          <w:rFonts w:ascii="Times New Roman" w:hAnsi="Times New Roman" w:cs="Times New Roman" w:eastAsia="Times New Roman"/>
          <w:color w:val="000000"/>
          <w:spacing w:val="0"/>
          <w:position w:val="0"/>
          <w:sz w:val="24"/>
          <w:shd w:fill="auto" w:val="clear"/>
        </w:rPr>
        <w:t xml:space="preserve">già acquisiti dall’ente.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previsione e la verifica del raggiungimento dell’obiettivo sarà verificato dall’OIV al quale, come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già sottolineato, spetta il monitoraggio sull’attuazione degli obblighi di trasparenza.</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5. </w:t>
      </w:r>
      <w:r>
        <w:rPr>
          <w:rFonts w:ascii="Times New Roman" w:hAnsi="Times New Roman" w:cs="Times New Roman" w:eastAsia="Times New Roman"/>
          <w:b/>
          <w:color w:val="000000"/>
          <w:spacing w:val="0"/>
          <w:position w:val="0"/>
          <w:sz w:val="24"/>
          <w:shd w:fill="auto" w:val="clear"/>
        </w:rPr>
        <w:t xml:space="preserve">Rapporto degli </w:t>
      </w:r>
      <w:r>
        <w:rPr>
          <w:rFonts w:ascii="Times New Roman" w:hAnsi="Times New Roman" w:cs="Times New Roman" w:eastAsia="Times New Roman"/>
          <w:b/>
          <w:i/>
          <w:color w:val="000000"/>
          <w:spacing w:val="0"/>
          <w:position w:val="0"/>
          <w:sz w:val="24"/>
          <w:shd w:fill="auto" w:val="clear"/>
        </w:rPr>
        <w:t xml:space="preserve">stakeholder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Comune, applica normalmente la metodologia della </w:t>
      </w:r>
      <w:r>
        <w:rPr>
          <w:rFonts w:ascii="Times New Roman" w:hAnsi="Times New Roman" w:cs="Times New Roman" w:eastAsia="Times New Roman"/>
          <w:i/>
          <w:color w:val="000000"/>
          <w:spacing w:val="0"/>
          <w:position w:val="0"/>
          <w:sz w:val="24"/>
          <w:shd w:fill="auto" w:val="clear"/>
        </w:rPr>
        <w:t xml:space="preserve">customer satisfaction </w:t>
      </w:r>
      <w:r>
        <w:rPr>
          <w:rFonts w:ascii="Times New Roman" w:hAnsi="Times New Roman" w:cs="Times New Roman" w:eastAsia="Times New Roman"/>
          <w:color w:val="000000"/>
          <w:spacing w:val="0"/>
          <w:position w:val="0"/>
          <w:sz w:val="24"/>
          <w:shd w:fill="auto" w:val="clear"/>
        </w:rPr>
        <w:t xml:space="preserve">nell’erogazione dei servizi alla comunità e la Carta dei Servizi costituisce di fatto un patto tra l’amministrazione e il cittadino nella gestione della “cosa pubblica”.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tal fine sia per il tramite del sito internet che direttamente presso gli uffici, il cittadino è direttamente invitato ad interloquire con l’amministrazione al fine del miglioramento dei servizi ed in primis nella comunicazione istituzionale.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dati raccolti saranno elaborati semestralmente e tali elaborazioni saranno pubblicate entro il 31 luglio (per i dati relativi al primo semestre) ed entro il 31 gennaio (per i dati relativi al secondo semestre nell’anno precedente).</w:t>
        <w:tab/>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Pubblicazione di ulteriori dati non previsti dalla normativa.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l’anno 2014 l’amministrazione comunale implementerà le informazioni presenti sul link  “Amministrazione Trasparente” con i dati relativi 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numero e contenuto dei procedimenti disciplinari relativi ai funzionari e ai dipendenti comunali;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fabbisogno triennale del personale.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Nell’ambito degli aggiornamenti annuali al presente piano saranno indicati i dati ulteriori da pubblicare per gli anni 2014 e 2015.</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Sanzioni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 riportano le seguenti sanzioni previste dal D.Lgs. 33/2013:</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obblighi di pubblicazione concernenti i titolari di incarichi dirigenziali e di collaborazione o consulenza (Responsabilità a carico dei Capi Settore e/o posizioni organizzative).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FATTISPECIE DI INADEMPIMENTO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Omessa pubblicazione dei dati di cui all’art. 15, comma 2:</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estremi degli atti di conferimento di incarichi dirigenziali a soggetti estranei alla p.a., con indicazione della ragione dell’incarico e dell’ammontare erogato,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incarichi di collaborazione o di consulenza a soggetti esterni per i quali è previsto un compenso, con indicazione della ragione dell’incarico e dell’ammontare erogato.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SANZIONI PREVISTE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caso di pagamento del corrispettivo: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responsabilità disciplinare,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applicazione di una sanzione pari alla somma corrisposta.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violazione degli obblighi di trasparenza.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Responsabilità a carico del responsabile della trasparenza, dei dirigenti, dei funzionari e dei dipendenti.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FATTISPECIE DI INADEMPIMENTO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Inadempimento agli obblighi di pubblicazione previsti dal presente Programma.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SANZIONI PREVISTE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elemento di valutazione della responsabilità dirigenziale,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eventuale causa di responsabilità per danno all</w:t>
        <w:t xml:space="preserve"> immagine della P.A.,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valutazione ai fini della corresponsione: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della retribuzione accessoria di risultato;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della retribuzione accessoria collegata alla performance individuale del responsabile.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FATTISPECIE DI INADEMPIMENTO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Mancata predisposizione o aggiornamento del Programma Triennale per la Trasparenza e l’Integrità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(Segretario generale).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SANZIONI PREVISTE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elemento di valutazione della responsabilità dirigenziale,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eventuale causa di responsabilità per danno all</w:t>
        <w:t xml:space="preserve"> immagine della P.A.,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valutazione ai fini della corresponsione: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della retribuzione accessoria di risultato;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della retribuzione accessoria collegata alla performance individuale del responsabile</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Titolo III Disposizioni transitorie e finali</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 15</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Disposizioni transitorie e finali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presente Piano entra in vigore sin dalla sua approvazione.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 provvederà annualmente, entro il 31/01, con esclusione per il 2014, al suo aggiornamento.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Ciascun titolare di incarico di Capo Settore   provvede a trasmettere ogni semestre, nei mesi di gennaio e luglio, al responsabile della prevenzione della corruzione, un report relativo all’area di competenza circa l’applicazione delle misure introdotte dal presente Piano segnalando eventuali criticità.</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Segretario generale, individuato quale responsabile della prevenzione della corruzione, ed a cui compete verificare l’efficace attuazione del presente piano, può sempre disporre ulteriori controlli nel corso di ciascun esercizio.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Responsabile della prevenzione della corruzione provvede a redigere e pubblicare, entro il 15 dicembre di ogni anno, nel sito web dell’ente, una relazione recante i risultati dell’attività svolta e ne cura la trasmissione entro il medesimo termine alla Giunta comunale.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Segretario generale, per l’esercizio delle funzioni relative al presente provvedimento, si avvale di una struttura operativa di supporto, individuata nel Servizio segreteria.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presente Piano viene trasmesso a cura del Responsabile al Dipartimento della Funzione Pubblica, pubblicato sul sito web dell’amministrazione comunale e trasmesso a mezzo posta elettronica ai capi settore ed ai Responsabili di P.O.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