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BA" w:rsidRDefault="008B26B0">
      <w:pPr>
        <w:jc w:val="both"/>
      </w:pPr>
      <w:bookmarkStart w:id="0" w:name="_GoBack"/>
      <w:bookmarkEnd w:id="0"/>
      <w:r>
        <w:rPr>
          <w:noProof/>
          <w:lang w:eastAsia="it-IT"/>
        </w:rPr>
        <w:drawing>
          <wp:inline distT="0" distB="0" distL="0" distR="0">
            <wp:extent cx="6122670" cy="24174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2417445"/>
                    </a:xfrm>
                    <a:prstGeom prst="rect">
                      <a:avLst/>
                    </a:prstGeom>
                    <a:noFill/>
                    <a:ln>
                      <a:noFill/>
                    </a:ln>
                  </pic:spPr>
                </pic:pic>
              </a:graphicData>
            </a:graphic>
          </wp:inline>
        </w:drawing>
      </w:r>
    </w:p>
    <w:p w:rsidR="00FF3CBA" w:rsidRDefault="00FF3CBA">
      <w:pPr>
        <w:jc w:val="both"/>
        <w:rPr>
          <w:b/>
        </w:rPr>
      </w:pPr>
    </w:p>
    <w:p w:rsidR="00FF3CBA" w:rsidRDefault="00FF3CBA">
      <w:pPr>
        <w:jc w:val="both"/>
        <w:rPr>
          <w:b/>
        </w:rPr>
      </w:pPr>
    </w:p>
    <w:p w:rsidR="00FF3CBA" w:rsidRDefault="00FF3CBA">
      <w:pPr>
        <w:jc w:val="both"/>
        <w:rPr>
          <w:b/>
        </w:rPr>
      </w:pPr>
    </w:p>
    <w:p w:rsidR="00FF3CBA" w:rsidRDefault="00FF3CBA">
      <w:pPr>
        <w:jc w:val="both"/>
        <w:rPr>
          <w:b/>
        </w:rPr>
      </w:pPr>
      <w:r>
        <w:rPr>
          <w:b/>
          <w:sz w:val="28"/>
          <w:szCs w:val="28"/>
        </w:rPr>
        <w:t>OGGETTO:</w:t>
      </w:r>
      <w:r>
        <w:rPr>
          <w:b/>
        </w:rPr>
        <w:t xml:space="preserve"> </w:t>
      </w:r>
      <w:r>
        <w:rPr>
          <w:b/>
          <w:sz w:val="28"/>
          <w:szCs w:val="28"/>
        </w:rPr>
        <w:t>Controllo finanziario degli enti locali  - rendiconto 2011  Deliberazione Corte dei Conti n° 365/2013/PRSP - Misure correttive</w:t>
      </w:r>
      <w:r>
        <w:rPr>
          <w:b/>
        </w:rPr>
        <w:t>.</w:t>
      </w:r>
    </w:p>
    <w:p w:rsidR="00FF3CBA" w:rsidRDefault="00FF3CBA">
      <w:pPr>
        <w:jc w:val="both"/>
        <w:rPr>
          <w:b/>
        </w:rPr>
      </w:pPr>
    </w:p>
    <w:p w:rsidR="00FF3CBA" w:rsidRDefault="00FF3CBA">
      <w:pPr>
        <w:jc w:val="both"/>
      </w:pPr>
      <w:r>
        <w:t>In relazione alla deliberazione richiamata in oggetto, la scrivente, sentiti i responsabili di settore ognuno per la propria competenza, relaziona al Consiglio comunale sui singoli punti, oggetto di criticità da parte della Corte dei Conti, come segue, evidenziando al contempo le azioni correttive messe in atto:</w:t>
      </w:r>
    </w:p>
    <w:p w:rsidR="00FF3CBA" w:rsidRDefault="00FF3CBA">
      <w:pPr>
        <w:jc w:val="both"/>
      </w:pPr>
    </w:p>
    <w:p w:rsidR="00FF3CBA" w:rsidRDefault="00FF3CBA">
      <w:pPr>
        <w:numPr>
          <w:ilvl w:val="0"/>
          <w:numId w:val="1"/>
        </w:numPr>
        <w:rPr>
          <w:rFonts w:eastAsia="Times New Roman"/>
          <w:b/>
          <w:lang w:eastAsia="it-IT"/>
        </w:rPr>
      </w:pPr>
      <w:r>
        <w:rPr>
          <w:rFonts w:eastAsia="Times New Roman"/>
          <w:b/>
          <w:lang w:eastAsia="it-IT"/>
        </w:rPr>
        <w:tab/>
        <w:t xml:space="preserve">Punto 1- Tardiva approvazione Rendiconto 2011 :  </w:t>
      </w:r>
    </w:p>
    <w:p w:rsidR="00FF3CBA" w:rsidRDefault="00FF3CBA">
      <w:pPr>
        <w:ind w:left="360"/>
        <w:jc w:val="both"/>
      </w:pPr>
    </w:p>
    <w:p w:rsidR="00FF3CBA" w:rsidRDefault="00FF3CBA">
      <w:pPr>
        <w:ind w:left="360"/>
        <w:jc w:val="both"/>
      </w:pPr>
      <w:r>
        <w:t>Nel ribadire quanto già segnalato nelle nostre precedenti memorie sul punto in questione, si accoglie l’invito della Corte dei Conti a prestare la massima attenzione ai termini legislativi di approvazione del Rendiconto, consapevoli che, a seguito dell’entrata in vigore del nuovo art. 227, comma 2 bis, del Tuel, introdotto dal DL n. 174/2012, direttamente applicabile in Sicilia, l’inadempienza nell’approvazione del rendiconto di gestione è stata equiparata a quella relativa alla mancata adozione del Bilancio di previsione, con conseguente possibilità di scioglimento del consiglio inottemperante.</w:t>
      </w:r>
    </w:p>
    <w:p w:rsidR="00FF3CBA" w:rsidRDefault="00FF3CBA">
      <w:pPr>
        <w:ind w:left="360"/>
        <w:jc w:val="both"/>
      </w:pPr>
      <w:r>
        <w:t>La nuova Amministrazione Comunale, molto sensibile in tal senso, sta già lavorando sul Rendiconto 2013 in modo da approvarlo nel rispetto dei termini di legge.</w:t>
      </w:r>
    </w:p>
    <w:p w:rsidR="00FF3CBA" w:rsidRDefault="00FF3CBA">
      <w:pPr>
        <w:ind w:left="709"/>
        <w:jc w:val="both"/>
      </w:pPr>
    </w:p>
    <w:p w:rsidR="00FF3CBA" w:rsidRDefault="00FF3CBA">
      <w:pPr>
        <w:numPr>
          <w:ilvl w:val="0"/>
          <w:numId w:val="1"/>
        </w:numPr>
        <w:rPr>
          <w:rFonts w:eastAsia="Times New Roman"/>
          <w:lang w:eastAsia="it-IT"/>
        </w:rPr>
      </w:pPr>
      <w:r>
        <w:rPr>
          <w:rFonts w:eastAsia="Times New Roman"/>
          <w:b/>
          <w:lang w:eastAsia="it-IT"/>
        </w:rPr>
        <w:t>Punto 2- Mancata adozione di misure di contenimento delle dinamiche retributive ed occupazionali</w:t>
      </w:r>
      <w:r>
        <w:rPr>
          <w:rFonts w:eastAsia="Times New Roman"/>
          <w:lang w:eastAsia="it-IT"/>
        </w:rPr>
        <w:t xml:space="preserve">: </w:t>
      </w:r>
    </w:p>
    <w:p w:rsidR="00FF3CBA" w:rsidRDefault="00FF3CBA">
      <w:pPr>
        <w:ind w:left="709"/>
        <w:jc w:val="both"/>
      </w:pPr>
    </w:p>
    <w:p w:rsidR="00FF3CBA" w:rsidRDefault="00FF3CBA">
      <w:pPr>
        <w:ind w:left="709"/>
        <w:jc w:val="both"/>
      </w:pPr>
      <w:r>
        <w:t xml:space="preserve">La spesa per il personale negli anni ha subito una riduzione nella sua incidenza sulle spese correnti, ad eccezione dell’anno 2011 in cui il trend </w:t>
      </w:r>
      <w:r w:rsidR="00820A8E">
        <w:t xml:space="preserve">decrescente </w:t>
      </w:r>
      <w:r>
        <w:t xml:space="preserve">è stato interrotto a seguito della stabilizzazione di 18 contrattisti effettuata dal commissario </w:t>
      </w:r>
      <w:r w:rsidR="00820A8E">
        <w:t xml:space="preserve">ad acta </w:t>
      </w:r>
      <w:r>
        <w:t xml:space="preserve">il 20/12/2010. </w:t>
      </w:r>
    </w:p>
    <w:p w:rsidR="00FF3CBA" w:rsidRDefault="00FF3CBA">
      <w:pPr>
        <w:ind w:left="709"/>
        <w:jc w:val="both"/>
      </w:pPr>
    </w:p>
    <w:p w:rsidR="00FF3CBA" w:rsidRDefault="00FF3CBA">
      <w:pPr>
        <w:ind w:left="709"/>
        <w:jc w:val="both"/>
      </w:pPr>
    </w:p>
    <w:p w:rsidR="00FF3CBA" w:rsidRDefault="00FF3CBA">
      <w:pPr>
        <w:ind w:left="709"/>
        <w:jc w:val="both"/>
      </w:pPr>
    </w:p>
    <w:p w:rsidR="00FF3CBA" w:rsidRDefault="00FF3CBA">
      <w:pPr>
        <w:ind w:left="709"/>
        <w:jc w:val="both"/>
      </w:pPr>
    </w:p>
    <w:tbl>
      <w:tblPr>
        <w:tblW w:w="10325" w:type="dxa"/>
        <w:tblInd w:w="65" w:type="dxa"/>
        <w:tblCellMar>
          <w:left w:w="70" w:type="dxa"/>
          <w:right w:w="70" w:type="dxa"/>
        </w:tblCellMar>
        <w:tblLook w:val="0000" w:firstRow="0" w:lastRow="0" w:firstColumn="0" w:lastColumn="0" w:noHBand="0" w:noVBand="0"/>
      </w:tblPr>
      <w:tblGrid>
        <w:gridCol w:w="1685"/>
        <w:gridCol w:w="1440"/>
        <w:gridCol w:w="1560"/>
        <w:gridCol w:w="1320"/>
        <w:gridCol w:w="1440"/>
        <w:gridCol w:w="1440"/>
        <w:gridCol w:w="1440"/>
      </w:tblGrid>
      <w:tr w:rsidR="00FF3CBA">
        <w:trPr>
          <w:trHeight w:val="315"/>
        </w:trPr>
        <w:tc>
          <w:tcPr>
            <w:tcW w:w="1685" w:type="dxa"/>
            <w:vMerge w:val="restart"/>
            <w:tcBorders>
              <w:top w:val="single" w:sz="4" w:space="0" w:color="auto"/>
              <w:left w:val="single" w:sz="4" w:space="0" w:color="auto"/>
              <w:bottom w:val="single" w:sz="4" w:space="0" w:color="000000"/>
              <w:right w:val="single" w:sz="4" w:space="0" w:color="000000"/>
            </w:tcBorders>
            <w:noWrap/>
            <w:vAlign w:val="bottom"/>
          </w:tcPr>
          <w:p w:rsidR="00FF3CBA" w:rsidRDefault="00FF3CBA">
            <w:pPr>
              <w:jc w:val="center"/>
              <w:rPr>
                <w:rFonts w:ascii="Arial" w:hAnsi="Arial" w:cs="Arial"/>
                <w:sz w:val="20"/>
                <w:szCs w:val="20"/>
                <w:lang w:eastAsia="it-IT"/>
              </w:rPr>
            </w:pPr>
            <w:r>
              <w:rPr>
                <w:rFonts w:ascii="Arial" w:hAnsi="Arial" w:cs="Arial"/>
                <w:sz w:val="20"/>
                <w:szCs w:val="20"/>
                <w:lang w:eastAsia="it-IT"/>
              </w:rPr>
              <w:lastRenderedPageBreak/>
              <w:t>SPESA</w:t>
            </w:r>
          </w:p>
        </w:tc>
        <w:tc>
          <w:tcPr>
            <w:tcW w:w="1440" w:type="dxa"/>
            <w:tcBorders>
              <w:top w:val="single" w:sz="4" w:space="0" w:color="auto"/>
              <w:left w:val="nil"/>
              <w:bottom w:val="single" w:sz="4" w:space="0" w:color="auto"/>
              <w:right w:val="single" w:sz="4" w:space="0" w:color="auto"/>
            </w:tcBorders>
            <w:noWrap/>
            <w:vAlign w:val="bottom"/>
          </w:tcPr>
          <w:p w:rsidR="00FF3CBA" w:rsidRDefault="00FF3CBA">
            <w:pPr>
              <w:jc w:val="right"/>
              <w:rPr>
                <w:rFonts w:eastAsia="Times New Roman"/>
                <w:lang w:eastAsia="it-IT"/>
              </w:rPr>
            </w:pPr>
            <w:r>
              <w:rPr>
                <w:rFonts w:eastAsia="Times New Roman"/>
                <w:lang w:eastAsia="it-IT"/>
              </w:rPr>
              <w:t>2008</w:t>
            </w:r>
          </w:p>
        </w:tc>
        <w:tc>
          <w:tcPr>
            <w:tcW w:w="1560" w:type="dxa"/>
            <w:tcBorders>
              <w:top w:val="single" w:sz="4" w:space="0" w:color="auto"/>
              <w:left w:val="nil"/>
              <w:bottom w:val="single" w:sz="4" w:space="0" w:color="auto"/>
              <w:right w:val="single" w:sz="4" w:space="0" w:color="auto"/>
            </w:tcBorders>
            <w:noWrap/>
            <w:vAlign w:val="bottom"/>
          </w:tcPr>
          <w:p w:rsidR="00FF3CBA" w:rsidRDefault="00FF3CBA">
            <w:pPr>
              <w:jc w:val="right"/>
              <w:rPr>
                <w:rFonts w:ascii="Arial" w:hAnsi="Arial" w:cs="Arial"/>
                <w:sz w:val="20"/>
                <w:szCs w:val="20"/>
                <w:lang w:eastAsia="it-IT"/>
              </w:rPr>
            </w:pPr>
            <w:r>
              <w:rPr>
                <w:rFonts w:ascii="Arial" w:hAnsi="Arial" w:cs="Arial"/>
                <w:sz w:val="20"/>
                <w:szCs w:val="20"/>
                <w:lang w:eastAsia="it-IT"/>
              </w:rPr>
              <w:t>2009</w:t>
            </w:r>
          </w:p>
        </w:tc>
        <w:tc>
          <w:tcPr>
            <w:tcW w:w="1320" w:type="dxa"/>
            <w:tcBorders>
              <w:top w:val="single" w:sz="4" w:space="0" w:color="auto"/>
              <w:left w:val="nil"/>
              <w:bottom w:val="single" w:sz="4" w:space="0" w:color="auto"/>
              <w:right w:val="single" w:sz="4" w:space="0" w:color="auto"/>
            </w:tcBorders>
            <w:noWrap/>
            <w:vAlign w:val="bottom"/>
          </w:tcPr>
          <w:p w:rsidR="00FF3CBA" w:rsidRDefault="00FF3CBA">
            <w:pPr>
              <w:jc w:val="right"/>
              <w:rPr>
                <w:rFonts w:ascii="Arial" w:hAnsi="Arial" w:cs="Arial"/>
                <w:sz w:val="20"/>
                <w:szCs w:val="20"/>
                <w:lang w:eastAsia="it-IT"/>
              </w:rPr>
            </w:pPr>
            <w:r>
              <w:rPr>
                <w:rFonts w:ascii="Arial" w:hAnsi="Arial" w:cs="Arial"/>
                <w:sz w:val="20"/>
                <w:szCs w:val="20"/>
                <w:lang w:eastAsia="it-IT"/>
              </w:rPr>
              <w:t>2010</w:t>
            </w:r>
          </w:p>
        </w:tc>
        <w:tc>
          <w:tcPr>
            <w:tcW w:w="1440" w:type="dxa"/>
            <w:tcBorders>
              <w:top w:val="single" w:sz="4" w:space="0" w:color="auto"/>
              <w:left w:val="nil"/>
              <w:bottom w:val="single" w:sz="4" w:space="0" w:color="auto"/>
              <w:right w:val="single" w:sz="4" w:space="0" w:color="auto"/>
            </w:tcBorders>
            <w:noWrap/>
            <w:vAlign w:val="bottom"/>
          </w:tcPr>
          <w:p w:rsidR="00FF3CBA" w:rsidRDefault="00FF3CBA">
            <w:pPr>
              <w:jc w:val="right"/>
              <w:rPr>
                <w:rFonts w:ascii="Arial" w:hAnsi="Arial" w:cs="Arial"/>
                <w:sz w:val="20"/>
                <w:szCs w:val="20"/>
                <w:lang w:eastAsia="it-IT"/>
              </w:rPr>
            </w:pPr>
            <w:r>
              <w:rPr>
                <w:rFonts w:ascii="Arial" w:hAnsi="Arial" w:cs="Arial"/>
                <w:sz w:val="20"/>
                <w:szCs w:val="20"/>
                <w:lang w:eastAsia="it-IT"/>
              </w:rPr>
              <w:t>2011</w:t>
            </w:r>
          </w:p>
        </w:tc>
        <w:tc>
          <w:tcPr>
            <w:tcW w:w="1440" w:type="dxa"/>
            <w:tcBorders>
              <w:top w:val="single" w:sz="4" w:space="0" w:color="auto"/>
              <w:left w:val="nil"/>
              <w:bottom w:val="single" w:sz="4" w:space="0" w:color="auto"/>
              <w:right w:val="single" w:sz="4" w:space="0" w:color="auto"/>
            </w:tcBorders>
            <w:noWrap/>
            <w:vAlign w:val="bottom"/>
          </w:tcPr>
          <w:p w:rsidR="00FF3CBA" w:rsidRDefault="00FF3CBA">
            <w:pPr>
              <w:jc w:val="right"/>
              <w:rPr>
                <w:rFonts w:ascii="Arial" w:hAnsi="Arial" w:cs="Arial"/>
                <w:sz w:val="20"/>
                <w:szCs w:val="20"/>
                <w:lang w:eastAsia="it-IT"/>
              </w:rPr>
            </w:pPr>
            <w:r>
              <w:rPr>
                <w:rFonts w:ascii="Arial" w:hAnsi="Arial" w:cs="Arial"/>
                <w:sz w:val="20"/>
                <w:szCs w:val="20"/>
                <w:lang w:eastAsia="it-IT"/>
              </w:rPr>
              <w:t>2012</w:t>
            </w:r>
          </w:p>
        </w:tc>
        <w:tc>
          <w:tcPr>
            <w:tcW w:w="1440" w:type="dxa"/>
            <w:tcBorders>
              <w:top w:val="single" w:sz="4" w:space="0" w:color="auto"/>
              <w:left w:val="nil"/>
              <w:bottom w:val="single" w:sz="4" w:space="0" w:color="auto"/>
              <w:right w:val="single" w:sz="4" w:space="0" w:color="auto"/>
            </w:tcBorders>
            <w:noWrap/>
            <w:vAlign w:val="bottom"/>
          </w:tcPr>
          <w:p w:rsidR="00FF3CBA" w:rsidRDefault="00FF3CBA">
            <w:pPr>
              <w:jc w:val="right"/>
              <w:rPr>
                <w:rFonts w:ascii="Arial" w:hAnsi="Arial" w:cs="Arial"/>
                <w:sz w:val="20"/>
                <w:szCs w:val="20"/>
                <w:lang w:eastAsia="it-IT"/>
              </w:rPr>
            </w:pPr>
            <w:r>
              <w:rPr>
                <w:rFonts w:ascii="Arial" w:hAnsi="Arial" w:cs="Arial"/>
                <w:sz w:val="20"/>
                <w:szCs w:val="20"/>
                <w:lang w:eastAsia="it-IT"/>
              </w:rPr>
              <w:t>2013</w:t>
            </w:r>
          </w:p>
        </w:tc>
      </w:tr>
      <w:tr w:rsidR="00FF3CBA">
        <w:trPr>
          <w:trHeight w:val="255"/>
        </w:trPr>
        <w:tc>
          <w:tcPr>
            <w:tcW w:w="1685" w:type="dxa"/>
            <w:vMerge/>
            <w:tcBorders>
              <w:top w:val="single" w:sz="4" w:space="0" w:color="auto"/>
              <w:left w:val="single" w:sz="4" w:space="0" w:color="auto"/>
              <w:bottom w:val="single" w:sz="4" w:space="0" w:color="000000"/>
              <w:right w:val="single" w:sz="4" w:space="0" w:color="000000"/>
            </w:tcBorders>
            <w:vAlign w:val="center"/>
          </w:tcPr>
          <w:p w:rsidR="00FF3CBA" w:rsidRDefault="00FF3CBA">
            <w:pPr>
              <w:rPr>
                <w:rFonts w:ascii="Arial" w:hAnsi="Arial" w:cs="Arial"/>
                <w:sz w:val="20"/>
                <w:szCs w:val="20"/>
                <w:lang w:eastAsia="it-IT"/>
              </w:rPr>
            </w:pPr>
          </w:p>
        </w:tc>
        <w:tc>
          <w:tcPr>
            <w:tcW w:w="1440" w:type="dxa"/>
            <w:tcBorders>
              <w:top w:val="nil"/>
              <w:left w:val="nil"/>
              <w:bottom w:val="single" w:sz="4" w:space="0" w:color="auto"/>
              <w:right w:val="single" w:sz="4" w:space="0" w:color="auto"/>
            </w:tcBorders>
            <w:noWrap/>
            <w:vAlign w:val="bottom"/>
          </w:tcPr>
          <w:p w:rsidR="00FF3CBA" w:rsidRDefault="00FF3CBA" w:rsidP="002F5833">
            <w:pPr>
              <w:rPr>
                <w:rFonts w:ascii="Arial" w:hAnsi="Arial" w:cs="Arial"/>
                <w:sz w:val="20"/>
                <w:szCs w:val="20"/>
                <w:lang w:eastAsia="it-IT"/>
              </w:rPr>
            </w:pPr>
            <w:r>
              <w:rPr>
                <w:rFonts w:ascii="Arial" w:hAnsi="Arial" w:cs="Arial"/>
                <w:sz w:val="20"/>
                <w:szCs w:val="20"/>
                <w:lang w:eastAsia="it-IT"/>
              </w:rPr>
              <w:t xml:space="preserve">         2.450</w:t>
            </w:r>
            <w:r w:rsidR="002F5833">
              <w:rPr>
                <w:rFonts w:ascii="Arial" w:hAnsi="Arial" w:cs="Arial"/>
                <w:sz w:val="20"/>
                <w:szCs w:val="20"/>
                <w:lang w:eastAsia="it-IT"/>
              </w:rPr>
              <w:t>.594</w:t>
            </w:r>
            <w:r>
              <w:rPr>
                <w:rFonts w:ascii="Arial" w:hAnsi="Arial" w:cs="Arial"/>
                <w:sz w:val="20"/>
                <w:szCs w:val="20"/>
                <w:lang w:eastAsia="it-IT"/>
              </w:rPr>
              <w:t>,</w:t>
            </w:r>
            <w:r w:rsidR="002F5833">
              <w:rPr>
                <w:rFonts w:ascii="Arial" w:hAnsi="Arial" w:cs="Arial"/>
                <w:sz w:val="20"/>
                <w:szCs w:val="20"/>
                <w:lang w:eastAsia="it-IT"/>
              </w:rPr>
              <w:t>90</w:t>
            </w:r>
            <w:r>
              <w:rPr>
                <w:rFonts w:ascii="Arial" w:hAnsi="Arial" w:cs="Arial"/>
                <w:sz w:val="20"/>
                <w:szCs w:val="20"/>
                <w:lang w:eastAsia="it-IT"/>
              </w:rPr>
              <w:t xml:space="preserve"> </w:t>
            </w:r>
          </w:p>
        </w:tc>
        <w:tc>
          <w:tcPr>
            <w:tcW w:w="1560" w:type="dxa"/>
            <w:tcBorders>
              <w:top w:val="nil"/>
              <w:left w:val="nil"/>
              <w:bottom w:val="single" w:sz="4" w:space="0" w:color="auto"/>
              <w:right w:val="single" w:sz="4" w:space="0" w:color="auto"/>
            </w:tcBorders>
            <w:noWrap/>
            <w:vAlign w:val="bottom"/>
          </w:tcPr>
          <w:p w:rsidR="00FF3CBA" w:rsidRDefault="00FF3CBA" w:rsidP="002F5833">
            <w:pPr>
              <w:rPr>
                <w:rFonts w:ascii="Arial" w:hAnsi="Arial" w:cs="Arial"/>
                <w:sz w:val="20"/>
                <w:szCs w:val="20"/>
                <w:lang w:eastAsia="it-IT"/>
              </w:rPr>
            </w:pPr>
            <w:r>
              <w:rPr>
                <w:rFonts w:ascii="Arial" w:hAnsi="Arial" w:cs="Arial"/>
                <w:sz w:val="20"/>
                <w:szCs w:val="20"/>
                <w:lang w:eastAsia="it-IT"/>
              </w:rPr>
              <w:t xml:space="preserve">        2.396</w:t>
            </w:r>
            <w:r w:rsidR="002F5833">
              <w:rPr>
                <w:rFonts w:ascii="Arial" w:hAnsi="Arial" w:cs="Arial"/>
                <w:sz w:val="20"/>
                <w:szCs w:val="20"/>
                <w:lang w:eastAsia="it-IT"/>
              </w:rPr>
              <w:t>.890,73</w:t>
            </w:r>
            <w:r>
              <w:rPr>
                <w:rFonts w:ascii="Arial" w:hAnsi="Arial" w:cs="Arial"/>
                <w:sz w:val="20"/>
                <w:szCs w:val="20"/>
                <w:lang w:eastAsia="it-IT"/>
              </w:rPr>
              <w:t xml:space="preserve"> </w:t>
            </w:r>
          </w:p>
        </w:tc>
        <w:tc>
          <w:tcPr>
            <w:tcW w:w="1320" w:type="dxa"/>
            <w:tcBorders>
              <w:top w:val="nil"/>
              <w:left w:val="nil"/>
              <w:bottom w:val="single" w:sz="4" w:space="0" w:color="auto"/>
              <w:right w:val="single" w:sz="4" w:space="0" w:color="auto"/>
            </w:tcBorders>
            <w:noWrap/>
            <w:vAlign w:val="bottom"/>
          </w:tcPr>
          <w:p w:rsidR="00FF3CBA" w:rsidRDefault="00FF3CBA" w:rsidP="002F5833">
            <w:pPr>
              <w:rPr>
                <w:rFonts w:ascii="Arial" w:hAnsi="Arial" w:cs="Arial"/>
                <w:sz w:val="20"/>
                <w:szCs w:val="20"/>
                <w:lang w:eastAsia="it-IT"/>
              </w:rPr>
            </w:pPr>
            <w:r>
              <w:rPr>
                <w:rFonts w:ascii="Arial" w:hAnsi="Arial" w:cs="Arial"/>
                <w:sz w:val="20"/>
                <w:szCs w:val="20"/>
                <w:lang w:eastAsia="it-IT"/>
              </w:rPr>
              <w:t xml:space="preserve">       2.257</w:t>
            </w:r>
            <w:r w:rsidR="002F5833">
              <w:rPr>
                <w:rFonts w:ascii="Arial" w:hAnsi="Arial" w:cs="Arial"/>
                <w:sz w:val="20"/>
                <w:szCs w:val="20"/>
                <w:lang w:eastAsia="it-IT"/>
              </w:rPr>
              <w:t>.048,06</w:t>
            </w:r>
            <w:r>
              <w:rPr>
                <w:rFonts w:ascii="Arial" w:hAnsi="Arial" w:cs="Arial"/>
                <w:sz w:val="20"/>
                <w:szCs w:val="20"/>
                <w:lang w:eastAsia="it-IT"/>
              </w:rPr>
              <w:t xml:space="preserve"> </w:t>
            </w:r>
          </w:p>
        </w:tc>
        <w:tc>
          <w:tcPr>
            <w:tcW w:w="1440" w:type="dxa"/>
            <w:tcBorders>
              <w:top w:val="nil"/>
              <w:left w:val="nil"/>
              <w:bottom w:val="single" w:sz="4" w:space="0" w:color="auto"/>
              <w:right w:val="single" w:sz="4" w:space="0" w:color="auto"/>
            </w:tcBorders>
            <w:noWrap/>
            <w:vAlign w:val="bottom"/>
          </w:tcPr>
          <w:p w:rsidR="00FF3CBA" w:rsidRDefault="00FF3CBA" w:rsidP="002F5833">
            <w:pPr>
              <w:rPr>
                <w:rFonts w:ascii="Arial" w:hAnsi="Arial" w:cs="Arial"/>
                <w:sz w:val="20"/>
                <w:szCs w:val="20"/>
                <w:lang w:eastAsia="it-IT"/>
              </w:rPr>
            </w:pPr>
            <w:r>
              <w:rPr>
                <w:rFonts w:ascii="Arial" w:hAnsi="Arial" w:cs="Arial"/>
                <w:sz w:val="20"/>
                <w:szCs w:val="20"/>
                <w:lang w:eastAsia="it-IT"/>
              </w:rPr>
              <w:t xml:space="preserve">       2.391</w:t>
            </w:r>
            <w:r w:rsidR="002F5833">
              <w:rPr>
                <w:rFonts w:ascii="Arial" w:hAnsi="Arial" w:cs="Arial"/>
                <w:sz w:val="20"/>
                <w:szCs w:val="20"/>
                <w:lang w:eastAsia="it-IT"/>
              </w:rPr>
              <w:t>.567,24</w:t>
            </w:r>
            <w:r>
              <w:rPr>
                <w:rFonts w:ascii="Arial" w:hAnsi="Arial" w:cs="Arial"/>
                <w:sz w:val="20"/>
                <w:szCs w:val="20"/>
                <w:lang w:eastAsia="it-IT"/>
              </w:rPr>
              <w:t xml:space="preserve"> </w:t>
            </w:r>
          </w:p>
        </w:tc>
        <w:tc>
          <w:tcPr>
            <w:tcW w:w="1440" w:type="dxa"/>
            <w:tcBorders>
              <w:top w:val="nil"/>
              <w:left w:val="nil"/>
              <w:bottom w:val="single" w:sz="4" w:space="0" w:color="auto"/>
              <w:right w:val="single" w:sz="4" w:space="0" w:color="auto"/>
            </w:tcBorders>
            <w:noWrap/>
            <w:vAlign w:val="bottom"/>
          </w:tcPr>
          <w:p w:rsidR="00FF3CBA" w:rsidRDefault="00FF3CBA" w:rsidP="002F5833">
            <w:pPr>
              <w:rPr>
                <w:rFonts w:ascii="Arial" w:hAnsi="Arial" w:cs="Arial"/>
                <w:sz w:val="20"/>
                <w:szCs w:val="20"/>
                <w:lang w:eastAsia="it-IT"/>
              </w:rPr>
            </w:pPr>
            <w:r>
              <w:rPr>
                <w:rFonts w:ascii="Arial" w:hAnsi="Arial" w:cs="Arial"/>
                <w:sz w:val="20"/>
                <w:szCs w:val="20"/>
                <w:lang w:eastAsia="it-IT"/>
              </w:rPr>
              <w:t xml:space="preserve">       2.349</w:t>
            </w:r>
            <w:r w:rsidR="002F5833">
              <w:rPr>
                <w:rFonts w:ascii="Arial" w:hAnsi="Arial" w:cs="Arial"/>
                <w:sz w:val="20"/>
                <w:szCs w:val="20"/>
                <w:lang w:eastAsia="it-IT"/>
              </w:rPr>
              <w:t>.959,31</w:t>
            </w:r>
            <w:r>
              <w:rPr>
                <w:rFonts w:ascii="Arial" w:hAnsi="Arial" w:cs="Arial"/>
                <w:sz w:val="20"/>
                <w:szCs w:val="20"/>
                <w:lang w:eastAsia="it-IT"/>
              </w:rPr>
              <w:t xml:space="preserve"> </w:t>
            </w:r>
          </w:p>
        </w:tc>
        <w:tc>
          <w:tcPr>
            <w:tcW w:w="1440" w:type="dxa"/>
            <w:tcBorders>
              <w:top w:val="nil"/>
              <w:left w:val="nil"/>
              <w:bottom w:val="single" w:sz="4" w:space="0" w:color="auto"/>
              <w:right w:val="single" w:sz="4" w:space="0" w:color="auto"/>
            </w:tcBorders>
            <w:noWrap/>
            <w:vAlign w:val="bottom"/>
          </w:tcPr>
          <w:p w:rsidR="00FF3CBA" w:rsidRDefault="00FF3CBA" w:rsidP="002F5833">
            <w:pPr>
              <w:rPr>
                <w:rFonts w:ascii="Arial" w:hAnsi="Arial" w:cs="Arial"/>
                <w:sz w:val="20"/>
                <w:szCs w:val="20"/>
                <w:lang w:eastAsia="it-IT"/>
              </w:rPr>
            </w:pPr>
            <w:r>
              <w:rPr>
                <w:rFonts w:ascii="Arial" w:hAnsi="Arial" w:cs="Arial"/>
                <w:sz w:val="20"/>
                <w:szCs w:val="20"/>
                <w:lang w:eastAsia="it-IT"/>
              </w:rPr>
              <w:t xml:space="preserve">        2.254</w:t>
            </w:r>
            <w:r w:rsidR="002F5833">
              <w:rPr>
                <w:rFonts w:ascii="Arial" w:hAnsi="Arial" w:cs="Arial"/>
                <w:sz w:val="20"/>
                <w:szCs w:val="20"/>
                <w:lang w:eastAsia="it-IT"/>
              </w:rPr>
              <w:t>.376,80</w:t>
            </w:r>
            <w:r>
              <w:rPr>
                <w:rFonts w:ascii="Arial" w:hAnsi="Arial" w:cs="Arial"/>
                <w:sz w:val="20"/>
                <w:szCs w:val="20"/>
                <w:lang w:eastAsia="it-IT"/>
              </w:rPr>
              <w:t xml:space="preserve"> </w:t>
            </w:r>
          </w:p>
        </w:tc>
      </w:tr>
      <w:tr w:rsidR="00FF3CBA">
        <w:trPr>
          <w:trHeight w:val="255"/>
        </w:trPr>
        <w:tc>
          <w:tcPr>
            <w:tcW w:w="1685" w:type="dxa"/>
            <w:tcBorders>
              <w:top w:val="single" w:sz="4" w:space="0" w:color="auto"/>
              <w:left w:val="single" w:sz="4" w:space="0" w:color="auto"/>
              <w:bottom w:val="single" w:sz="4" w:space="0" w:color="auto"/>
              <w:right w:val="single" w:sz="4" w:space="0" w:color="000000"/>
            </w:tcBorders>
            <w:noWrap/>
            <w:vAlign w:val="bottom"/>
          </w:tcPr>
          <w:p w:rsidR="00FF3CBA" w:rsidRDefault="00FF3CBA">
            <w:pPr>
              <w:rPr>
                <w:rFonts w:ascii="Arial" w:hAnsi="Arial" w:cs="Arial"/>
                <w:sz w:val="20"/>
                <w:szCs w:val="20"/>
                <w:lang w:eastAsia="it-IT"/>
              </w:rPr>
            </w:pPr>
            <w:r>
              <w:rPr>
                <w:rFonts w:ascii="Arial" w:hAnsi="Arial" w:cs="Arial"/>
                <w:sz w:val="20"/>
                <w:szCs w:val="20"/>
                <w:lang w:eastAsia="it-IT"/>
              </w:rPr>
              <w:t>Spesa corrente</w:t>
            </w:r>
          </w:p>
        </w:tc>
        <w:tc>
          <w:tcPr>
            <w:tcW w:w="1440" w:type="dxa"/>
            <w:tcBorders>
              <w:top w:val="nil"/>
              <w:left w:val="nil"/>
              <w:bottom w:val="single" w:sz="4" w:space="0" w:color="auto"/>
              <w:right w:val="single" w:sz="4" w:space="0" w:color="auto"/>
            </w:tcBorders>
            <w:noWrap/>
            <w:vAlign w:val="bottom"/>
          </w:tcPr>
          <w:p w:rsidR="00FF3CBA" w:rsidRDefault="00FF3CBA" w:rsidP="002F5833">
            <w:pPr>
              <w:rPr>
                <w:rFonts w:ascii="Arial" w:hAnsi="Arial" w:cs="Arial"/>
                <w:sz w:val="20"/>
                <w:szCs w:val="20"/>
                <w:lang w:eastAsia="it-IT"/>
              </w:rPr>
            </w:pPr>
            <w:r>
              <w:rPr>
                <w:rFonts w:ascii="Arial" w:hAnsi="Arial" w:cs="Arial"/>
                <w:sz w:val="20"/>
                <w:szCs w:val="20"/>
                <w:lang w:eastAsia="it-IT"/>
              </w:rPr>
              <w:t xml:space="preserve">         4.302</w:t>
            </w:r>
            <w:r w:rsidR="002F5833">
              <w:rPr>
                <w:rFonts w:ascii="Arial" w:hAnsi="Arial" w:cs="Arial"/>
                <w:sz w:val="20"/>
                <w:szCs w:val="20"/>
                <w:lang w:eastAsia="it-IT"/>
              </w:rPr>
              <w:t>.338,04</w:t>
            </w:r>
            <w:r>
              <w:rPr>
                <w:rFonts w:ascii="Arial" w:hAnsi="Arial" w:cs="Arial"/>
                <w:sz w:val="20"/>
                <w:szCs w:val="20"/>
                <w:lang w:eastAsia="it-IT"/>
              </w:rPr>
              <w:t xml:space="preserve"> </w:t>
            </w:r>
          </w:p>
        </w:tc>
        <w:tc>
          <w:tcPr>
            <w:tcW w:w="1560" w:type="dxa"/>
            <w:tcBorders>
              <w:top w:val="nil"/>
              <w:left w:val="nil"/>
              <w:bottom w:val="single" w:sz="4" w:space="0" w:color="auto"/>
              <w:right w:val="single" w:sz="4" w:space="0" w:color="auto"/>
            </w:tcBorders>
            <w:noWrap/>
            <w:vAlign w:val="bottom"/>
          </w:tcPr>
          <w:p w:rsidR="00FF3CBA" w:rsidRDefault="00FF3CBA" w:rsidP="002F5833">
            <w:pPr>
              <w:rPr>
                <w:rFonts w:ascii="Arial" w:hAnsi="Arial" w:cs="Arial"/>
                <w:sz w:val="20"/>
                <w:szCs w:val="20"/>
                <w:lang w:eastAsia="it-IT"/>
              </w:rPr>
            </w:pPr>
            <w:r>
              <w:rPr>
                <w:rFonts w:ascii="Arial" w:hAnsi="Arial" w:cs="Arial"/>
                <w:sz w:val="20"/>
                <w:szCs w:val="20"/>
                <w:lang w:eastAsia="it-IT"/>
              </w:rPr>
              <w:t xml:space="preserve">        4.698</w:t>
            </w:r>
            <w:r w:rsidR="002F5833">
              <w:rPr>
                <w:rFonts w:ascii="Arial" w:hAnsi="Arial" w:cs="Arial"/>
                <w:sz w:val="20"/>
                <w:szCs w:val="20"/>
                <w:lang w:eastAsia="it-IT"/>
              </w:rPr>
              <w:t>.653</w:t>
            </w:r>
            <w:r>
              <w:rPr>
                <w:rFonts w:ascii="Arial" w:hAnsi="Arial" w:cs="Arial"/>
                <w:sz w:val="20"/>
                <w:szCs w:val="20"/>
                <w:lang w:eastAsia="it-IT"/>
              </w:rPr>
              <w:t>,</w:t>
            </w:r>
            <w:r w:rsidR="002F5833">
              <w:rPr>
                <w:rFonts w:ascii="Arial" w:hAnsi="Arial" w:cs="Arial"/>
                <w:sz w:val="20"/>
                <w:szCs w:val="20"/>
                <w:lang w:eastAsia="it-IT"/>
              </w:rPr>
              <w:t>27</w:t>
            </w:r>
            <w:r>
              <w:rPr>
                <w:rFonts w:ascii="Arial" w:hAnsi="Arial" w:cs="Arial"/>
                <w:sz w:val="20"/>
                <w:szCs w:val="20"/>
                <w:lang w:eastAsia="it-IT"/>
              </w:rPr>
              <w:t xml:space="preserve"> </w:t>
            </w:r>
          </w:p>
        </w:tc>
        <w:tc>
          <w:tcPr>
            <w:tcW w:w="1320" w:type="dxa"/>
            <w:tcBorders>
              <w:top w:val="nil"/>
              <w:left w:val="nil"/>
              <w:bottom w:val="single" w:sz="4" w:space="0" w:color="auto"/>
              <w:right w:val="single" w:sz="4" w:space="0" w:color="auto"/>
            </w:tcBorders>
            <w:noWrap/>
            <w:vAlign w:val="bottom"/>
          </w:tcPr>
          <w:p w:rsidR="00FF3CBA" w:rsidRDefault="00FF3CBA" w:rsidP="002F5833">
            <w:pPr>
              <w:rPr>
                <w:rFonts w:ascii="Arial" w:hAnsi="Arial" w:cs="Arial"/>
                <w:sz w:val="20"/>
                <w:szCs w:val="20"/>
                <w:lang w:eastAsia="it-IT"/>
              </w:rPr>
            </w:pPr>
            <w:r>
              <w:rPr>
                <w:rFonts w:ascii="Arial" w:hAnsi="Arial" w:cs="Arial"/>
                <w:sz w:val="20"/>
                <w:szCs w:val="20"/>
                <w:lang w:eastAsia="it-IT"/>
              </w:rPr>
              <w:t xml:space="preserve">       5.375</w:t>
            </w:r>
            <w:r w:rsidR="002F5833">
              <w:rPr>
                <w:rFonts w:ascii="Arial" w:hAnsi="Arial" w:cs="Arial"/>
                <w:sz w:val="20"/>
                <w:szCs w:val="20"/>
                <w:lang w:eastAsia="it-IT"/>
              </w:rPr>
              <w:t>.919,45</w:t>
            </w:r>
            <w:r>
              <w:rPr>
                <w:rFonts w:ascii="Arial" w:hAnsi="Arial" w:cs="Arial"/>
                <w:sz w:val="20"/>
                <w:szCs w:val="20"/>
                <w:lang w:eastAsia="it-IT"/>
              </w:rPr>
              <w:t xml:space="preserve"> </w:t>
            </w:r>
          </w:p>
        </w:tc>
        <w:tc>
          <w:tcPr>
            <w:tcW w:w="1440" w:type="dxa"/>
            <w:tcBorders>
              <w:top w:val="nil"/>
              <w:left w:val="nil"/>
              <w:bottom w:val="single" w:sz="4" w:space="0" w:color="auto"/>
              <w:right w:val="single" w:sz="4" w:space="0" w:color="auto"/>
            </w:tcBorders>
            <w:noWrap/>
            <w:vAlign w:val="bottom"/>
          </w:tcPr>
          <w:p w:rsidR="00FF3CBA" w:rsidRDefault="00FF3CBA" w:rsidP="002F5833">
            <w:pPr>
              <w:rPr>
                <w:rFonts w:ascii="Arial" w:hAnsi="Arial" w:cs="Arial"/>
                <w:sz w:val="20"/>
                <w:szCs w:val="20"/>
                <w:lang w:eastAsia="it-IT"/>
              </w:rPr>
            </w:pPr>
            <w:r>
              <w:rPr>
                <w:rFonts w:ascii="Arial" w:hAnsi="Arial" w:cs="Arial"/>
                <w:sz w:val="20"/>
                <w:szCs w:val="20"/>
                <w:lang w:eastAsia="it-IT"/>
              </w:rPr>
              <w:t xml:space="preserve">       5.395</w:t>
            </w:r>
            <w:r w:rsidR="002F5833">
              <w:rPr>
                <w:rFonts w:ascii="Arial" w:hAnsi="Arial" w:cs="Arial"/>
                <w:sz w:val="20"/>
                <w:szCs w:val="20"/>
                <w:lang w:eastAsia="it-IT"/>
              </w:rPr>
              <w:t>.924,02</w:t>
            </w:r>
            <w:r>
              <w:rPr>
                <w:rFonts w:ascii="Arial" w:hAnsi="Arial" w:cs="Arial"/>
                <w:sz w:val="20"/>
                <w:szCs w:val="20"/>
                <w:lang w:eastAsia="it-IT"/>
              </w:rPr>
              <w:t xml:space="preserve"> </w:t>
            </w:r>
          </w:p>
        </w:tc>
        <w:tc>
          <w:tcPr>
            <w:tcW w:w="1440" w:type="dxa"/>
            <w:tcBorders>
              <w:top w:val="nil"/>
              <w:left w:val="nil"/>
              <w:bottom w:val="single" w:sz="4" w:space="0" w:color="auto"/>
              <w:right w:val="single" w:sz="4" w:space="0" w:color="auto"/>
            </w:tcBorders>
            <w:noWrap/>
            <w:vAlign w:val="bottom"/>
          </w:tcPr>
          <w:p w:rsidR="00FF3CBA" w:rsidRDefault="00FF3CBA" w:rsidP="002F5833">
            <w:pPr>
              <w:rPr>
                <w:rFonts w:ascii="Arial" w:hAnsi="Arial" w:cs="Arial"/>
                <w:sz w:val="20"/>
                <w:szCs w:val="20"/>
                <w:lang w:eastAsia="it-IT"/>
              </w:rPr>
            </w:pPr>
            <w:r>
              <w:rPr>
                <w:rFonts w:ascii="Arial" w:hAnsi="Arial" w:cs="Arial"/>
                <w:sz w:val="20"/>
                <w:szCs w:val="20"/>
                <w:lang w:eastAsia="it-IT"/>
              </w:rPr>
              <w:t xml:space="preserve">       5.831</w:t>
            </w:r>
            <w:r w:rsidR="002F5833">
              <w:rPr>
                <w:rFonts w:ascii="Arial" w:hAnsi="Arial" w:cs="Arial"/>
                <w:sz w:val="20"/>
                <w:szCs w:val="20"/>
                <w:lang w:eastAsia="it-IT"/>
              </w:rPr>
              <w:t>.527,83</w:t>
            </w:r>
            <w:r>
              <w:rPr>
                <w:rFonts w:ascii="Arial" w:hAnsi="Arial" w:cs="Arial"/>
                <w:sz w:val="20"/>
                <w:szCs w:val="20"/>
                <w:lang w:eastAsia="it-IT"/>
              </w:rPr>
              <w:t xml:space="preserve"> </w:t>
            </w:r>
          </w:p>
        </w:tc>
        <w:tc>
          <w:tcPr>
            <w:tcW w:w="1440" w:type="dxa"/>
            <w:tcBorders>
              <w:top w:val="nil"/>
              <w:left w:val="nil"/>
              <w:bottom w:val="single" w:sz="4" w:space="0" w:color="auto"/>
              <w:right w:val="single" w:sz="4" w:space="0" w:color="auto"/>
            </w:tcBorders>
            <w:noWrap/>
            <w:vAlign w:val="bottom"/>
          </w:tcPr>
          <w:p w:rsidR="00FF3CBA" w:rsidRDefault="00FF3CBA" w:rsidP="002F5833">
            <w:pPr>
              <w:rPr>
                <w:rFonts w:ascii="Arial" w:hAnsi="Arial" w:cs="Arial"/>
                <w:sz w:val="20"/>
                <w:szCs w:val="20"/>
                <w:lang w:eastAsia="it-IT"/>
              </w:rPr>
            </w:pPr>
            <w:r>
              <w:rPr>
                <w:rFonts w:ascii="Arial" w:hAnsi="Arial" w:cs="Arial"/>
                <w:sz w:val="20"/>
                <w:szCs w:val="20"/>
                <w:lang w:eastAsia="it-IT"/>
              </w:rPr>
              <w:t xml:space="preserve">        5.640</w:t>
            </w:r>
            <w:r w:rsidR="002F5833">
              <w:rPr>
                <w:rFonts w:ascii="Arial" w:hAnsi="Arial" w:cs="Arial"/>
                <w:sz w:val="20"/>
                <w:szCs w:val="20"/>
                <w:lang w:eastAsia="it-IT"/>
              </w:rPr>
              <w:t>.945,92</w:t>
            </w:r>
            <w:r>
              <w:rPr>
                <w:rFonts w:ascii="Arial" w:hAnsi="Arial" w:cs="Arial"/>
                <w:sz w:val="20"/>
                <w:szCs w:val="20"/>
                <w:lang w:eastAsia="it-IT"/>
              </w:rPr>
              <w:t xml:space="preserve"> </w:t>
            </w:r>
          </w:p>
        </w:tc>
      </w:tr>
      <w:tr w:rsidR="00FF3CBA">
        <w:trPr>
          <w:trHeight w:val="255"/>
        </w:trPr>
        <w:tc>
          <w:tcPr>
            <w:tcW w:w="1685" w:type="dxa"/>
            <w:tcBorders>
              <w:top w:val="single" w:sz="4" w:space="0" w:color="auto"/>
              <w:left w:val="single" w:sz="4" w:space="0" w:color="auto"/>
              <w:bottom w:val="single" w:sz="4" w:space="0" w:color="auto"/>
              <w:right w:val="single" w:sz="4" w:space="0" w:color="000000"/>
            </w:tcBorders>
            <w:noWrap/>
            <w:vAlign w:val="bottom"/>
          </w:tcPr>
          <w:p w:rsidR="00FF3CBA" w:rsidRDefault="00FF3CBA">
            <w:pPr>
              <w:rPr>
                <w:rFonts w:ascii="Arial" w:hAnsi="Arial" w:cs="Arial"/>
                <w:sz w:val="20"/>
                <w:szCs w:val="20"/>
                <w:lang w:eastAsia="it-IT"/>
              </w:rPr>
            </w:pPr>
            <w:r>
              <w:rPr>
                <w:rFonts w:ascii="Arial" w:hAnsi="Arial" w:cs="Arial"/>
                <w:sz w:val="20"/>
                <w:szCs w:val="20"/>
                <w:lang w:eastAsia="it-IT"/>
              </w:rPr>
              <w:t>% di incidenza sulla spesa corrente</w:t>
            </w:r>
          </w:p>
        </w:tc>
        <w:tc>
          <w:tcPr>
            <w:tcW w:w="1440" w:type="dxa"/>
            <w:tcBorders>
              <w:top w:val="nil"/>
              <w:left w:val="nil"/>
              <w:bottom w:val="single" w:sz="4" w:space="0" w:color="auto"/>
              <w:right w:val="single" w:sz="4" w:space="0" w:color="auto"/>
            </w:tcBorders>
            <w:noWrap/>
            <w:vAlign w:val="bottom"/>
          </w:tcPr>
          <w:p w:rsidR="00FF3CBA" w:rsidRDefault="00FF3CBA">
            <w:pPr>
              <w:jc w:val="right"/>
              <w:rPr>
                <w:rFonts w:ascii="Arial" w:hAnsi="Arial" w:cs="Arial"/>
                <w:sz w:val="20"/>
                <w:szCs w:val="20"/>
                <w:lang w:eastAsia="it-IT"/>
              </w:rPr>
            </w:pPr>
            <w:r>
              <w:rPr>
                <w:rFonts w:ascii="Arial" w:hAnsi="Arial" w:cs="Arial"/>
                <w:sz w:val="20"/>
                <w:szCs w:val="20"/>
                <w:lang w:eastAsia="it-IT"/>
              </w:rPr>
              <w:t>56,96%</w:t>
            </w:r>
          </w:p>
        </w:tc>
        <w:tc>
          <w:tcPr>
            <w:tcW w:w="1560" w:type="dxa"/>
            <w:tcBorders>
              <w:top w:val="nil"/>
              <w:left w:val="nil"/>
              <w:bottom w:val="single" w:sz="4" w:space="0" w:color="auto"/>
              <w:right w:val="single" w:sz="4" w:space="0" w:color="auto"/>
            </w:tcBorders>
            <w:noWrap/>
            <w:vAlign w:val="bottom"/>
          </w:tcPr>
          <w:p w:rsidR="00FF3CBA" w:rsidRDefault="00FF3CBA">
            <w:pPr>
              <w:jc w:val="right"/>
              <w:rPr>
                <w:rFonts w:ascii="Arial" w:hAnsi="Arial" w:cs="Arial"/>
                <w:sz w:val="20"/>
                <w:szCs w:val="20"/>
                <w:lang w:eastAsia="it-IT"/>
              </w:rPr>
            </w:pPr>
            <w:r>
              <w:rPr>
                <w:rFonts w:ascii="Arial" w:hAnsi="Arial" w:cs="Arial"/>
                <w:sz w:val="20"/>
                <w:szCs w:val="20"/>
                <w:lang w:eastAsia="it-IT"/>
              </w:rPr>
              <w:t>51,01%</w:t>
            </w:r>
          </w:p>
        </w:tc>
        <w:tc>
          <w:tcPr>
            <w:tcW w:w="1320" w:type="dxa"/>
            <w:tcBorders>
              <w:top w:val="nil"/>
              <w:left w:val="nil"/>
              <w:bottom w:val="single" w:sz="4" w:space="0" w:color="auto"/>
              <w:right w:val="single" w:sz="4" w:space="0" w:color="auto"/>
            </w:tcBorders>
            <w:noWrap/>
            <w:vAlign w:val="bottom"/>
          </w:tcPr>
          <w:p w:rsidR="00FF3CBA" w:rsidRDefault="00FF3CBA">
            <w:pPr>
              <w:jc w:val="right"/>
              <w:rPr>
                <w:rFonts w:ascii="Arial" w:hAnsi="Arial" w:cs="Arial"/>
                <w:sz w:val="20"/>
                <w:szCs w:val="20"/>
                <w:lang w:eastAsia="it-IT"/>
              </w:rPr>
            </w:pPr>
            <w:r>
              <w:rPr>
                <w:rFonts w:ascii="Arial" w:hAnsi="Arial" w:cs="Arial"/>
                <w:sz w:val="20"/>
                <w:szCs w:val="20"/>
                <w:lang w:eastAsia="it-IT"/>
              </w:rPr>
              <w:t>41,98%</w:t>
            </w:r>
          </w:p>
        </w:tc>
        <w:tc>
          <w:tcPr>
            <w:tcW w:w="1440" w:type="dxa"/>
            <w:tcBorders>
              <w:top w:val="nil"/>
              <w:left w:val="nil"/>
              <w:bottom w:val="single" w:sz="4" w:space="0" w:color="auto"/>
              <w:right w:val="single" w:sz="4" w:space="0" w:color="auto"/>
            </w:tcBorders>
            <w:noWrap/>
            <w:vAlign w:val="bottom"/>
          </w:tcPr>
          <w:p w:rsidR="00FF3CBA" w:rsidRDefault="00FF3CBA">
            <w:pPr>
              <w:jc w:val="right"/>
              <w:rPr>
                <w:rFonts w:ascii="Arial" w:hAnsi="Arial" w:cs="Arial"/>
                <w:sz w:val="20"/>
                <w:szCs w:val="20"/>
                <w:lang w:eastAsia="it-IT"/>
              </w:rPr>
            </w:pPr>
            <w:r>
              <w:rPr>
                <w:rFonts w:ascii="Arial" w:hAnsi="Arial" w:cs="Arial"/>
                <w:sz w:val="20"/>
                <w:szCs w:val="20"/>
                <w:lang w:eastAsia="it-IT"/>
              </w:rPr>
              <w:t>44,32%</w:t>
            </w:r>
          </w:p>
        </w:tc>
        <w:tc>
          <w:tcPr>
            <w:tcW w:w="1440" w:type="dxa"/>
            <w:tcBorders>
              <w:top w:val="nil"/>
              <w:left w:val="nil"/>
              <w:bottom w:val="single" w:sz="4" w:space="0" w:color="auto"/>
              <w:right w:val="single" w:sz="4" w:space="0" w:color="auto"/>
            </w:tcBorders>
            <w:noWrap/>
            <w:vAlign w:val="bottom"/>
          </w:tcPr>
          <w:p w:rsidR="00FF3CBA" w:rsidRDefault="00FF3CBA">
            <w:pPr>
              <w:jc w:val="right"/>
              <w:rPr>
                <w:rFonts w:ascii="Arial" w:hAnsi="Arial" w:cs="Arial"/>
                <w:sz w:val="20"/>
                <w:szCs w:val="20"/>
                <w:lang w:eastAsia="it-IT"/>
              </w:rPr>
            </w:pPr>
            <w:r>
              <w:rPr>
                <w:rFonts w:ascii="Arial" w:hAnsi="Arial" w:cs="Arial"/>
                <w:sz w:val="20"/>
                <w:szCs w:val="20"/>
                <w:lang w:eastAsia="it-IT"/>
              </w:rPr>
              <w:t>40,30%</w:t>
            </w:r>
          </w:p>
        </w:tc>
        <w:tc>
          <w:tcPr>
            <w:tcW w:w="1440" w:type="dxa"/>
            <w:tcBorders>
              <w:top w:val="nil"/>
              <w:left w:val="nil"/>
              <w:bottom w:val="single" w:sz="4" w:space="0" w:color="auto"/>
              <w:right w:val="single" w:sz="4" w:space="0" w:color="auto"/>
            </w:tcBorders>
            <w:noWrap/>
            <w:vAlign w:val="bottom"/>
          </w:tcPr>
          <w:p w:rsidR="00FF3CBA" w:rsidRDefault="00FF3CBA">
            <w:pPr>
              <w:jc w:val="right"/>
              <w:rPr>
                <w:rFonts w:ascii="Arial" w:hAnsi="Arial" w:cs="Arial"/>
                <w:sz w:val="20"/>
                <w:szCs w:val="20"/>
                <w:lang w:eastAsia="it-IT"/>
              </w:rPr>
            </w:pPr>
            <w:r>
              <w:rPr>
                <w:rFonts w:ascii="Arial" w:hAnsi="Arial" w:cs="Arial"/>
                <w:sz w:val="20"/>
                <w:szCs w:val="20"/>
                <w:lang w:eastAsia="it-IT"/>
              </w:rPr>
              <w:t>39,96%</w:t>
            </w:r>
          </w:p>
        </w:tc>
      </w:tr>
    </w:tbl>
    <w:p w:rsidR="00FF3CBA" w:rsidRDefault="00FF3CBA">
      <w:pPr>
        <w:ind w:left="709"/>
        <w:jc w:val="both"/>
      </w:pPr>
    </w:p>
    <w:p w:rsidR="00FF3CBA" w:rsidRDefault="00FF3CBA">
      <w:pPr>
        <w:ind w:left="709"/>
        <w:jc w:val="both"/>
      </w:pPr>
      <w:r>
        <w:t>Di seguito si riportano alcuni grafici che mostrano quanto detto:</w:t>
      </w:r>
    </w:p>
    <w:p w:rsidR="00FF3CBA" w:rsidRDefault="00FF3CBA">
      <w:pPr>
        <w:ind w:left="709"/>
        <w:jc w:val="both"/>
      </w:pPr>
    </w:p>
    <w:p w:rsidR="00FF3CBA" w:rsidRDefault="008B26B0">
      <w:pPr>
        <w:ind w:left="709"/>
        <w:jc w:val="both"/>
      </w:pPr>
      <w:r>
        <w:rPr>
          <w:noProof/>
          <w:lang w:eastAsia="it-IT"/>
        </w:rPr>
        <w:drawing>
          <wp:inline distT="0" distB="0" distL="0" distR="0">
            <wp:extent cx="5899785" cy="28308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9785" cy="2830830"/>
                    </a:xfrm>
                    <a:prstGeom prst="rect">
                      <a:avLst/>
                    </a:prstGeom>
                    <a:noFill/>
                    <a:ln>
                      <a:noFill/>
                    </a:ln>
                  </pic:spPr>
                </pic:pic>
              </a:graphicData>
            </a:graphic>
          </wp:inline>
        </w:drawing>
      </w:r>
    </w:p>
    <w:p w:rsidR="00FF3CBA" w:rsidRDefault="00FF3CBA">
      <w:pPr>
        <w:ind w:left="709"/>
        <w:jc w:val="both"/>
      </w:pPr>
    </w:p>
    <w:p w:rsidR="00FF3CBA" w:rsidRDefault="008B26B0">
      <w:pPr>
        <w:ind w:left="709"/>
        <w:jc w:val="both"/>
      </w:pPr>
      <w:r>
        <w:rPr>
          <w:noProof/>
          <w:lang w:eastAsia="it-IT"/>
        </w:rPr>
        <w:drawing>
          <wp:inline distT="0" distB="0" distL="0" distR="0">
            <wp:extent cx="5860415" cy="255206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0415" cy="2552065"/>
                    </a:xfrm>
                    <a:prstGeom prst="rect">
                      <a:avLst/>
                    </a:prstGeom>
                    <a:noFill/>
                    <a:ln>
                      <a:noFill/>
                    </a:ln>
                  </pic:spPr>
                </pic:pic>
              </a:graphicData>
            </a:graphic>
          </wp:inline>
        </w:drawing>
      </w:r>
    </w:p>
    <w:p w:rsidR="00FF3CBA" w:rsidRDefault="00FF3CBA">
      <w:pPr>
        <w:ind w:left="709"/>
        <w:jc w:val="both"/>
      </w:pPr>
    </w:p>
    <w:p w:rsidR="00FF3CBA" w:rsidRDefault="008B26B0">
      <w:pPr>
        <w:ind w:left="709"/>
        <w:jc w:val="both"/>
      </w:pPr>
      <w:r>
        <w:rPr>
          <w:noProof/>
          <w:lang w:eastAsia="it-IT"/>
        </w:rPr>
        <w:lastRenderedPageBreak/>
        <w:drawing>
          <wp:inline distT="0" distB="0" distL="0" distR="0">
            <wp:extent cx="6233795" cy="2393315"/>
            <wp:effectExtent l="0" t="0" r="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3795" cy="2393315"/>
                    </a:xfrm>
                    <a:prstGeom prst="rect">
                      <a:avLst/>
                    </a:prstGeom>
                    <a:noFill/>
                    <a:ln>
                      <a:noFill/>
                    </a:ln>
                  </pic:spPr>
                </pic:pic>
              </a:graphicData>
            </a:graphic>
          </wp:inline>
        </w:drawing>
      </w:r>
    </w:p>
    <w:p w:rsidR="00FF3CBA" w:rsidRDefault="00FF3CBA">
      <w:pPr>
        <w:ind w:left="709"/>
        <w:jc w:val="both"/>
      </w:pPr>
    </w:p>
    <w:p w:rsidR="00FF3CBA" w:rsidRDefault="00FF3CBA">
      <w:pPr>
        <w:ind w:left="709"/>
        <w:jc w:val="both"/>
      </w:pPr>
      <w:r>
        <w:t>Nel 2012 è intervenuto un licenziamento con nota n. 9266; successivamente con ordinanza del Tribunale di Marsala Sez. lavoro civile, in data 3/6/2013 è stata disposto il reintegro in servizio del dipendente stesso.</w:t>
      </w:r>
    </w:p>
    <w:p w:rsidR="00FF3CBA" w:rsidRDefault="00FF3CBA">
      <w:pPr>
        <w:ind w:left="709"/>
        <w:jc w:val="both"/>
        <w:rPr>
          <w:highlight w:val="yellow"/>
        </w:rPr>
      </w:pPr>
    </w:p>
    <w:p w:rsidR="00FF3CBA" w:rsidRDefault="00FF3CBA">
      <w:pPr>
        <w:ind w:left="709"/>
        <w:jc w:val="both"/>
      </w:pPr>
      <w:r>
        <w:t xml:space="preserve">Si veda </w:t>
      </w:r>
      <w:r w:rsidRPr="003006B0">
        <w:rPr>
          <w:b/>
        </w:rPr>
        <w:t>All</w:t>
      </w:r>
      <w:r w:rsidR="003006B0" w:rsidRPr="003006B0">
        <w:rPr>
          <w:b/>
        </w:rPr>
        <w:t>egato</w:t>
      </w:r>
      <w:r w:rsidRPr="003006B0">
        <w:rPr>
          <w:b/>
        </w:rPr>
        <w:t xml:space="preserve"> A</w:t>
      </w:r>
      <w:r>
        <w:t xml:space="preserve"> relativo ai prospetti della spesa del personale suddivisi per anno, prospetti riepilogativi dei dipendenti di ruolo e contrattisti, nonché nota del Responsabile del procedimento del personale.</w:t>
      </w:r>
    </w:p>
    <w:p w:rsidR="00FF3CBA" w:rsidRDefault="00FF3CBA">
      <w:pPr>
        <w:ind w:left="709"/>
        <w:jc w:val="both"/>
      </w:pPr>
    </w:p>
    <w:p w:rsidR="00FF3CBA" w:rsidRDefault="00FF3CBA">
      <w:pPr>
        <w:numPr>
          <w:ilvl w:val="0"/>
          <w:numId w:val="1"/>
        </w:numPr>
        <w:rPr>
          <w:rFonts w:eastAsia="Times New Roman"/>
          <w:lang w:eastAsia="it-IT"/>
        </w:rPr>
      </w:pPr>
      <w:r>
        <w:rPr>
          <w:rFonts w:eastAsia="Times New Roman"/>
          <w:b/>
          <w:lang w:eastAsia="it-IT"/>
        </w:rPr>
        <w:t>Punto 3- Gestione Residui nell’esercizio 2011</w:t>
      </w:r>
      <w:r>
        <w:rPr>
          <w:rFonts w:eastAsia="Times New Roman"/>
          <w:lang w:eastAsia="it-IT"/>
        </w:rPr>
        <w:t xml:space="preserve">: </w:t>
      </w:r>
    </w:p>
    <w:p w:rsidR="00FF3CBA" w:rsidRDefault="00FF3CBA">
      <w:pPr>
        <w:pStyle w:val="Paragrafoelenco"/>
        <w:rPr>
          <w:rFonts w:eastAsia="Times New Roman"/>
          <w:lang w:eastAsia="it-IT"/>
        </w:rPr>
      </w:pPr>
    </w:p>
    <w:p w:rsidR="00FF3CBA" w:rsidRDefault="00FF3CBA">
      <w:pPr>
        <w:numPr>
          <w:ilvl w:val="0"/>
          <w:numId w:val="7"/>
        </w:numPr>
        <w:jc w:val="both"/>
        <w:rPr>
          <w:rFonts w:ascii="BookmanOldStyle" w:hAnsi="BookmanOldStyle" w:cs="BookmanOldStyle"/>
          <w:color w:val="000000"/>
          <w:lang w:eastAsia="it-IT"/>
        </w:rPr>
      </w:pPr>
      <w:r>
        <w:rPr>
          <w:rFonts w:eastAsia="Times New Roman"/>
          <w:b/>
          <w:lang w:eastAsia="it-IT"/>
        </w:rPr>
        <w:t>Presenza di consistenti residui relativi ad esercizi precedenti il 2007.</w:t>
      </w:r>
    </w:p>
    <w:p w:rsidR="00FF3CBA" w:rsidRDefault="00FF3CBA">
      <w:pPr>
        <w:numPr>
          <w:ilvl w:val="1"/>
          <w:numId w:val="7"/>
        </w:numPr>
        <w:tabs>
          <w:tab w:val="clear" w:pos="2356"/>
          <w:tab w:val="num" w:pos="1680"/>
        </w:tabs>
        <w:ind w:left="1320" w:firstLine="0"/>
        <w:jc w:val="both"/>
        <w:rPr>
          <w:rFonts w:eastAsia="Times New Roman"/>
          <w:b/>
          <w:lang w:eastAsia="it-IT"/>
        </w:rPr>
      </w:pPr>
      <w:r>
        <w:rPr>
          <w:rFonts w:eastAsia="Times New Roman"/>
          <w:u w:val="single"/>
          <w:lang w:eastAsia="it-IT"/>
        </w:rPr>
        <w:t>Residui attivi</w:t>
      </w:r>
      <w:r>
        <w:rPr>
          <w:rFonts w:ascii="BookmanOldStyle" w:hAnsi="BookmanOldStyle" w:cs="BookmanOldStyle"/>
          <w:color w:val="000000"/>
          <w:u w:val="single"/>
          <w:lang w:eastAsia="it-IT"/>
        </w:rPr>
        <w:t xml:space="preserve"> </w:t>
      </w:r>
      <w:r>
        <w:rPr>
          <w:rFonts w:eastAsia="Times New Roman"/>
          <w:u w:val="single"/>
          <w:lang w:eastAsia="it-IT"/>
        </w:rPr>
        <w:t>afferenti il Titolo I delle entrate per € 170.142,10</w:t>
      </w:r>
      <w:r>
        <w:rPr>
          <w:rFonts w:eastAsia="Times New Roman"/>
          <w:lang w:eastAsia="it-IT"/>
        </w:rPr>
        <w:t xml:space="preserve">: Sebbene in occasione delle memorie prodotte in data 23.10.2013 si facesse cenno alla permanenza in bilancio dei residui in trattazione, questi sono stati eliminati in quanto inesigibili, in sede di riaccertamento dei residui preventivamente all’approvazione del Rendiconto 2012 (Determina del Responsabile del Servizio Finanziario n. 6 del 11/4/2013 e n. 12 del 4/6/2013 – si veda </w:t>
      </w:r>
      <w:r w:rsidR="003006B0" w:rsidRPr="003006B0">
        <w:rPr>
          <w:rFonts w:eastAsia="Times New Roman"/>
          <w:b/>
          <w:lang w:eastAsia="it-IT"/>
        </w:rPr>
        <w:t>Allegato</w:t>
      </w:r>
      <w:r w:rsidR="003006B0">
        <w:rPr>
          <w:rFonts w:eastAsia="Times New Roman"/>
          <w:b/>
          <w:sz w:val="28"/>
          <w:szCs w:val="28"/>
          <w:lang w:eastAsia="it-IT"/>
        </w:rPr>
        <w:t xml:space="preserve"> </w:t>
      </w:r>
      <w:r w:rsidR="003006B0" w:rsidRPr="003006B0">
        <w:rPr>
          <w:rFonts w:eastAsia="Times New Roman"/>
          <w:b/>
          <w:lang w:eastAsia="it-IT"/>
        </w:rPr>
        <w:t>B</w:t>
      </w:r>
      <w:r w:rsidR="003006B0">
        <w:rPr>
          <w:rFonts w:eastAsia="Times New Roman"/>
          <w:b/>
          <w:sz w:val="28"/>
          <w:szCs w:val="28"/>
          <w:lang w:eastAsia="it-IT"/>
        </w:rPr>
        <w:t xml:space="preserve">. </w:t>
      </w:r>
      <w:r>
        <w:rPr>
          <w:rFonts w:eastAsia="Times New Roman"/>
          <w:lang w:eastAsia="it-IT"/>
        </w:rPr>
        <w:t xml:space="preserve"> L’eliminazione della posta attiva si è resa necessaria, in via prudenziale, in quanto in atto è pendente un contenzioso  con la Soc. Serit. S.p.A per il mancato introito di numerosi ruoli emessi nel periodo 2000/2008. Per tale fattispecie questa Amministrazione ha già segnalato a codesta Corte le anomalie riscontrate in data 25.06.2009 ed è pendente una Vostra istruttoria con n° V2009/003377/SC </w:t>
      </w:r>
    </w:p>
    <w:p w:rsidR="00FF3CBA" w:rsidRDefault="00FF3CBA">
      <w:pPr>
        <w:numPr>
          <w:ilvl w:val="1"/>
          <w:numId w:val="7"/>
        </w:numPr>
        <w:tabs>
          <w:tab w:val="clear" w:pos="2356"/>
          <w:tab w:val="num" w:pos="1680"/>
        </w:tabs>
        <w:ind w:left="1320" w:firstLine="0"/>
        <w:jc w:val="both"/>
        <w:rPr>
          <w:rFonts w:eastAsia="Times New Roman"/>
          <w:b/>
          <w:lang w:eastAsia="it-IT"/>
        </w:rPr>
      </w:pPr>
      <w:r>
        <w:rPr>
          <w:rFonts w:eastAsia="Times New Roman"/>
          <w:u w:val="single"/>
          <w:lang w:eastAsia="it-IT"/>
        </w:rPr>
        <w:t>Residui attivi</w:t>
      </w:r>
      <w:r>
        <w:rPr>
          <w:rFonts w:ascii="BookmanOldStyle" w:hAnsi="BookmanOldStyle" w:cs="BookmanOldStyle"/>
          <w:color w:val="000000"/>
          <w:u w:val="single"/>
          <w:lang w:eastAsia="it-IT"/>
        </w:rPr>
        <w:t xml:space="preserve"> </w:t>
      </w:r>
      <w:r>
        <w:rPr>
          <w:rFonts w:eastAsia="Times New Roman"/>
          <w:u w:val="single"/>
          <w:lang w:eastAsia="it-IT"/>
        </w:rPr>
        <w:t>afferenti il Titolo III delle entrate per € 184.815,62</w:t>
      </w:r>
      <w:r>
        <w:rPr>
          <w:rFonts w:eastAsia="Times New Roman"/>
          <w:lang w:eastAsia="it-IT"/>
        </w:rPr>
        <w:t>: Trattasi di crediti relativi al canone idrico per i quali si indicano di seguito gli importi eliminati in sede di riaccertamento straordinario dei residui effettuato in data 28.01.2014, quale misura straordinaria ed urgente in relazione alla deliberazione di Codesta n° 365/2013 PRSP, perché non più realizzabili per intervenuta prescrizione ad eccezione dei canoni in corso di riscossione con concessione di rateizzazione regolarmente incassati. Nell’</w:t>
      </w:r>
      <w:r w:rsidRPr="003006B0">
        <w:rPr>
          <w:rFonts w:eastAsia="Times New Roman"/>
          <w:b/>
          <w:lang w:eastAsia="it-IT"/>
        </w:rPr>
        <w:t>Allegato</w:t>
      </w:r>
      <w:r w:rsidRPr="003006B0">
        <w:rPr>
          <w:rFonts w:eastAsia="Times New Roman"/>
          <w:b/>
          <w:sz w:val="28"/>
          <w:szCs w:val="28"/>
          <w:lang w:eastAsia="it-IT"/>
        </w:rPr>
        <w:t xml:space="preserve"> </w:t>
      </w:r>
      <w:r w:rsidRPr="003006B0">
        <w:rPr>
          <w:rFonts w:eastAsia="Times New Roman"/>
          <w:b/>
          <w:lang w:eastAsia="it-IT"/>
        </w:rPr>
        <w:t>C</w:t>
      </w:r>
      <w:r>
        <w:rPr>
          <w:rFonts w:eastAsia="Times New Roman"/>
          <w:lang w:eastAsia="it-IT"/>
        </w:rPr>
        <w:t xml:space="preserve"> sono riportate le schede dei residui cancellati, il prospetto dei canoni rateizzati disposto dal settore ufficio acquedotti.</w:t>
      </w:r>
    </w:p>
    <w:p w:rsidR="00433DCF" w:rsidRDefault="00433DCF">
      <w:pPr>
        <w:tabs>
          <w:tab w:val="num" w:pos="1680"/>
        </w:tabs>
        <w:ind w:left="1320"/>
        <w:jc w:val="both"/>
        <w:rPr>
          <w:rFonts w:eastAsia="Times New Roman"/>
          <w:b/>
          <w:lang w:eastAsia="it-IT"/>
        </w:rPr>
      </w:pPr>
    </w:p>
    <w:p w:rsidR="00FF3CBA" w:rsidRDefault="00FF3CBA">
      <w:pPr>
        <w:tabs>
          <w:tab w:val="num" w:pos="1680"/>
        </w:tabs>
        <w:ind w:left="1320"/>
        <w:jc w:val="both"/>
        <w:rPr>
          <w:rFonts w:eastAsia="Times New Roman"/>
          <w:b/>
          <w:lang w:eastAsia="it-IT"/>
        </w:rPr>
      </w:pPr>
    </w:p>
    <w:p w:rsidR="00FF3CBA" w:rsidRDefault="00FF3CBA">
      <w:pPr>
        <w:ind w:left="1276" w:hanging="283"/>
        <w:jc w:val="both"/>
        <w:rPr>
          <w:color w:val="FF0000"/>
        </w:rPr>
      </w:pPr>
    </w:p>
    <w:p w:rsidR="00433DCF" w:rsidRDefault="00433DCF" w:rsidP="00433DCF">
      <w:pPr>
        <w:jc w:val="both"/>
        <w:rPr>
          <w:rFonts w:eastAsia="Times New Roman"/>
          <w:b/>
          <w:lang w:eastAsia="it-IT"/>
        </w:rPr>
      </w:pPr>
    </w:p>
    <w:tbl>
      <w:tblPr>
        <w:tblpPr w:leftFromText="141" w:rightFromText="141" w:vertAnchor="text" w:horzAnchor="margin" w:tblpXSpec="center" w:tblpY="166"/>
        <w:tblW w:w="6591" w:type="dxa"/>
        <w:tblLayout w:type="fixed"/>
        <w:tblCellMar>
          <w:left w:w="70" w:type="dxa"/>
          <w:right w:w="70" w:type="dxa"/>
        </w:tblCellMar>
        <w:tblLook w:val="0000" w:firstRow="0" w:lastRow="0" w:firstColumn="0" w:lastColumn="0" w:noHBand="0" w:noVBand="0"/>
      </w:tblPr>
      <w:tblGrid>
        <w:gridCol w:w="1488"/>
        <w:gridCol w:w="1843"/>
        <w:gridCol w:w="1560"/>
        <w:gridCol w:w="160"/>
        <w:gridCol w:w="1540"/>
      </w:tblGrid>
      <w:tr w:rsidR="00945AF5" w:rsidRPr="00433DCF" w:rsidTr="00945AF5">
        <w:trPr>
          <w:trHeight w:val="1238"/>
        </w:trPr>
        <w:tc>
          <w:tcPr>
            <w:tcW w:w="1488" w:type="dxa"/>
            <w:tcBorders>
              <w:top w:val="single" w:sz="8" w:space="0" w:color="auto"/>
              <w:left w:val="single" w:sz="8" w:space="0" w:color="auto"/>
              <w:bottom w:val="single" w:sz="8" w:space="0" w:color="auto"/>
              <w:right w:val="single" w:sz="8" w:space="0" w:color="auto"/>
            </w:tcBorders>
            <w:vAlign w:val="center"/>
          </w:tcPr>
          <w:p w:rsidR="00945AF5" w:rsidRPr="00433DCF" w:rsidRDefault="00945AF5" w:rsidP="00433DCF">
            <w:pPr>
              <w:jc w:val="center"/>
              <w:rPr>
                <w:b/>
                <w:bCs/>
              </w:rPr>
            </w:pPr>
            <w:r w:rsidRPr="00433DCF">
              <w:rPr>
                <w:b/>
                <w:bCs/>
              </w:rPr>
              <w:t>Esercizio di provenienza</w:t>
            </w:r>
          </w:p>
        </w:tc>
        <w:tc>
          <w:tcPr>
            <w:tcW w:w="1843" w:type="dxa"/>
            <w:tcBorders>
              <w:top w:val="single" w:sz="8" w:space="0" w:color="auto"/>
              <w:left w:val="nil"/>
              <w:bottom w:val="single" w:sz="8" w:space="0" w:color="auto"/>
              <w:right w:val="single" w:sz="8" w:space="0" w:color="auto"/>
            </w:tcBorders>
            <w:vAlign w:val="center"/>
          </w:tcPr>
          <w:p w:rsidR="00945AF5" w:rsidRPr="00433DCF" w:rsidRDefault="00945AF5" w:rsidP="00433DCF">
            <w:pPr>
              <w:jc w:val="center"/>
              <w:rPr>
                <w:b/>
                <w:bCs/>
              </w:rPr>
            </w:pPr>
            <w:r w:rsidRPr="00433DCF">
              <w:rPr>
                <w:b/>
                <w:bCs/>
              </w:rPr>
              <w:t>Riaccertamento residui attivi  al 31/12/2011</w:t>
            </w:r>
          </w:p>
        </w:tc>
        <w:tc>
          <w:tcPr>
            <w:tcW w:w="1560" w:type="dxa"/>
            <w:tcBorders>
              <w:top w:val="single" w:sz="8" w:space="0" w:color="auto"/>
              <w:left w:val="nil"/>
              <w:bottom w:val="single" w:sz="8" w:space="0" w:color="auto"/>
              <w:right w:val="nil"/>
            </w:tcBorders>
            <w:vAlign w:val="center"/>
          </w:tcPr>
          <w:p w:rsidR="00945AF5" w:rsidRPr="00433DCF" w:rsidRDefault="00945AF5" w:rsidP="00433DCF">
            <w:pPr>
              <w:jc w:val="center"/>
              <w:rPr>
                <w:b/>
                <w:bCs/>
              </w:rPr>
            </w:pPr>
            <w:r w:rsidRPr="00433DCF">
              <w:rPr>
                <w:b/>
                <w:bCs/>
              </w:rPr>
              <w:t xml:space="preserve">Importo cancellato in sede della presente verifica straordinaria </w:t>
            </w:r>
          </w:p>
        </w:tc>
        <w:tc>
          <w:tcPr>
            <w:tcW w:w="160" w:type="dxa"/>
            <w:tcBorders>
              <w:top w:val="single" w:sz="8" w:space="0" w:color="auto"/>
              <w:left w:val="nil"/>
              <w:bottom w:val="single" w:sz="8" w:space="0" w:color="auto"/>
              <w:right w:val="single" w:sz="8" w:space="0" w:color="auto"/>
            </w:tcBorders>
          </w:tcPr>
          <w:p w:rsidR="00945AF5" w:rsidRPr="00433DCF" w:rsidRDefault="00945AF5" w:rsidP="00433DCF">
            <w:pPr>
              <w:jc w:val="center"/>
              <w:rPr>
                <w:b/>
                <w:bCs/>
              </w:rPr>
            </w:pPr>
          </w:p>
        </w:tc>
        <w:tc>
          <w:tcPr>
            <w:tcW w:w="1540" w:type="dxa"/>
            <w:tcBorders>
              <w:top w:val="single" w:sz="8" w:space="0" w:color="auto"/>
              <w:left w:val="nil"/>
              <w:bottom w:val="single" w:sz="8" w:space="0" w:color="auto"/>
              <w:right w:val="single" w:sz="8" w:space="0" w:color="auto"/>
            </w:tcBorders>
          </w:tcPr>
          <w:p w:rsidR="00945AF5" w:rsidRPr="00433DCF" w:rsidRDefault="00945AF5" w:rsidP="00433DCF">
            <w:pPr>
              <w:jc w:val="center"/>
              <w:rPr>
                <w:b/>
                <w:bCs/>
              </w:rPr>
            </w:pPr>
            <w:r w:rsidRPr="00433DCF">
              <w:rPr>
                <w:b/>
                <w:bCs/>
              </w:rPr>
              <w:t>Importo da riaccertare a Rendiconto 2013</w:t>
            </w:r>
          </w:p>
        </w:tc>
      </w:tr>
      <w:tr w:rsidR="00945AF5" w:rsidRPr="00433DCF" w:rsidTr="00945AF5">
        <w:trPr>
          <w:trHeight w:val="330"/>
        </w:trPr>
        <w:tc>
          <w:tcPr>
            <w:tcW w:w="1488" w:type="dxa"/>
            <w:tcBorders>
              <w:top w:val="nil"/>
              <w:left w:val="single" w:sz="8" w:space="0" w:color="auto"/>
              <w:bottom w:val="single" w:sz="8" w:space="0" w:color="auto"/>
              <w:right w:val="single" w:sz="8" w:space="0" w:color="auto"/>
            </w:tcBorders>
          </w:tcPr>
          <w:p w:rsidR="00945AF5" w:rsidRPr="003620AD" w:rsidRDefault="00945AF5" w:rsidP="00433DCF">
            <w:pPr>
              <w:jc w:val="center"/>
            </w:pPr>
            <w:r w:rsidRPr="003620AD">
              <w:t>2000</w:t>
            </w:r>
          </w:p>
        </w:tc>
        <w:tc>
          <w:tcPr>
            <w:tcW w:w="1843" w:type="dxa"/>
            <w:tcBorders>
              <w:top w:val="nil"/>
              <w:left w:val="nil"/>
              <w:bottom w:val="single" w:sz="8" w:space="0" w:color="auto"/>
              <w:right w:val="single" w:sz="8" w:space="0" w:color="auto"/>
            </w:tcBorders>
          </w:tcPr>
          <w:p w:rsidR="00945AF5" w:rsidRPr="003620AD" w:rsidRDefault="00945AF5" w:rsidP="00433DCF">
            <w:pPr>
              <w:jc w:val="center"/>
            </w:pPr>
            <w:r w:rsidRPr="003620AD">
              <w:t>25.457,14</w:t>
            </w:r>
          </w:p>
        </w:tc>
        <w:tc>
          <w:tcPr>
            <w:tcW w:w="1560" w:type="dxa"/>
            <w:tcBorders>
              <w:top w:val="nil"/>
              <w:left w:val="nil"/>
              <w:bottom w:val="single" w:sz="8" w:space="0" w:color="auto"/>
              <w:right w:val="nil"/>
            </w:tcBorders>
          </w:tcPr>
          <w:p w:rsidR="00945AF5" w:rsidRPr="003620AD" w:rsidRDefault="00945AF5" w:rsidP="00433DCF">
            <w:pPr>
              <w:jc w:val="center"/>
            </w:pPr>
            <w:r w:rsidRPr="003620AD">
              <w:t>24.504,47</w:t>
            </w:r>
          </w:p>
        </w:tc>
        <w:tc>
          <w:tcPr>
            <w:tcW w:w="160" w:type="dxa"/>
            <w:tcBorders>
              <w:top w:val="nil"/>
              <w:left w:val="nil"/>
              <w:bottom w:val="single" w:sz="8" w:space="0" w:color="auto"/>
              <w:right w:val="single" w:sz="8" w:space="0" w:color="auto"/>
            </w:tcBorders>
          </w:tcPr>
          <w:p w:rsidR="00945AF5" w:rsidRPr="003620AD" w:rsidRDefault="00945AF5" w:rsidP="00433DCF">
            <w:pPr>
              <w:jc w:val="center"/>
            </w:pPr>
          </w:p>
        </w:tc>
        <w:tc>
          <w:tcPr>
            <w:tcW w:w="1540" w:type="dxa"/>
            <w:tcBorders>
              <w:top w:val="nil"/>
              <w:left w:val="nil"/>
              <w:bottom w:val="single" w:sz="8" w:space="0" w:color="auto"/>
              <w:right w:val="single" w:sz="8" w:space="0" w:color="auto"/>
            </w:tcBorders>
          </w:tcPr>
          <w:p w:rsidR="00945AF5" w:rsidRPr="003620AD" w:rsidRDefault="00945AF5" w:rsidP="00433DCF">
            <w:pPr>
              <w:jc w:val="center"/>
            </w:pPr>
            <w:r>
              <w:t>952,67</w:t>
            </w:r>
          </w:p>
        </w:tc>
      </w:tr>
      <w:tr w:rsidR="00945AF5" w:rsidRPr="00433DCF" w:rsidTr="00945AF5">
        <w:trPr>
          <w:trHeight w:val="330"/>
        </w:trPr>
        <w:tc>
          <w:tcPr>
            <w:tcW w:w="1488" w:type="dxa"/>
            <w:tcBorders>
              <w:top w:val="nil"/>
              <w:left w:val="single" w:sz="8" w:space="0" w:color="auto"/>
              <w:bottom w:val="single" w:sz="8" w:space="0" w:color="auto"/>
              <w:right w:val="single" w:sz="8" w:space="0" w:color="auto"/>
            </w:tcBorders>
          </w:tcPr>
          <w:p w:rsidR="00945AF5" w:rsidRPr="003620AD" w:rsidRDefault="00945AF5" w:rsidP="00433DCF">
            <w:pPr>
              <w:jc w:val="center"/>
            </w:pPr>
            <w:r w:rsidRPr="003620AD">
              <w:t>2001</w:t>
            </w:r>
          </w:p>
        </w:tc>
        <w:tc>
          <w:tcPr>
            <w:tcW w:w="1843" w:type="dxa"/>
            <w:tcBorders>
              <w:top w:val="nil"/>
              <w:left w:val="nil"/>
              <w:bottom w:val="single" w:sz="8" w:space="0" w:color="auto"/>
              <w:right w:val="single" w:sz="8" w:space="0" w:color="auto"/>
            </w:tcBorders>
          </w:tcPr>
          <w:p w:rsidR="00945AF5" w:rsidRPr="003620AD" w:rsidRDefault="00945AF5" w:rsidP="00433DCF">
            <w:pPr>
              <w:jc w:val="center"/>
            </w:pPr>
            <w:r w:rsidRPr="003620AD">
              <w:t>51.314,74</w:t>
            </w:r>
          </w:p>
        </w:tc>
        <w:tc>
          <w:tcPr>
            <w:tcW w:w="1560" w:type="dxa"/>
            <w:tcBorders>
              <w:top w:val="nil"/>
              <w:left w:val="nil"/>
              <w:bottom w:val="single" w:sz="8" w:space="0" w:color="auto"/>
              <w:right w:val="nil"/>
            </w:tcBorders>
          </w:tcPr>
          <w:p w:rsidR="00945AF5" w:rsidRPr="003620AD" w:rsidRDefault="00945AF5" w:rsidP="00433DCF">
            <w:pPr>
              <w:jc w:val="center"/>
            </w:pPr>
            <w:r w:rsidRPr="003620AD">
              <w:t>46.964,44</w:t>
            </w:r>
          </w:p>
        </w:tc>
        <w:tc>
          <w:tcPr>
            <w:tcW w:w="160" w:type="dxa"/>
            <w:tcBorders>
              <w:top w:val="nil"/>
              <w:left w:val="nil"/>
              <w:bottom w:val="single" w:sz="8" w:space="0" w:color="auto"/>
              <w:right w:val="single" w:sz="8" w:space="0" w:color="auto"/>
            </w:tcBorders>
          </w:tcPr>
          <w:p w:rsidR="00945AF5" w:rsidRPr="003620AD" w:rsidRDefault="00945AF5" w:rsidP="00433DCF">
            <w:pPr>
              <w:jc w:val="center"/>
            </w:pPr>
          </w:p>
        </w:tc>
        <w:tc>
          <w:tcPr>
            <w:tcW w:w="1540" w:type="dxa"/>
            <w:tcBorders>
              <w:top w:val="nil"/>
              <w:left w:val="nil"/>
              <w:bottom w:val="single" w:sz="8" w:space="0" w:color="auto"/>
              <w:right w:val="single" w:sz="8" w:space="0" w:color="auto"/>
            </w:tcBorders>
          </w:tcPr>
          <w:p w:rsidR="00945AF5" w:rsidRPr="003620AD" w:rsidRDefault="00945AF5" w:rsidP="00433DCF">
            <w:pPr>
              <w:jc w:val="center"/>
            </w:pPr>
            <w:r>
              <w:t>0,00</w:t>
            </w:r>
          </w:p>
        </w:tc>
      </w:tr>
      <w:tr w:rsidR="00945AF5" w:rsidRPr="00433DCF" w:rsidTr="00945AF5">
        <w:trPr>
          <w:trHeight w:val="330"/>
        </w:trPr>
        <w:tc>
          <w:tcPr>
            <w:tcW w:w="1488" w:type="dxa"/>
            <w:tcBorders>
              <w:top w:val="nil"/>
              <w:left w:val="single" w:sz="8" w:space="0" w:color="auto"/>
              <w:bottom w:val="single" w:sz="8" w:space="0" w:color="auto"/>
              <w:right w:val="single" w:sz="8" w:space="0" w:color="auto"/>
            </w:tcBorders>
          </w:tcPr>
          <w:p w:rsidR="00945AF5" w:rsidRPr="003620AD" w:rsidRDefault="00945AF5" w:rsidP="00433DCF">
            <w:pPr>
              <w:jc w:val="center"/>
            </w:pPr>
            <w:r w:rsidRPr="003620AD">
              <w:t>2003</w:t>
            </w:r>
          </w:p>
        </w:tc>
        <w:tc>
          <w:tcPr>
            <w:tcW w:w="1843" w:type="dxa"/>
            <w:tcBorders>
              <w:top w:val="nil"/>
              <w:left w:val="nil"/>
              <w:bottom w:val="single" w:sz="8" w:space="0" w:color="auto"/>
              <w:right w:val="single" w:sz="8" w:space="0" w:color="auto"/>
            </w:tcBorders>
          </w:tcPr>
          <w:p w:rsidR="00945AF5" w:rsidRPr="003620AD" w:rsidRDefault="00945AF5" w:rsidP="00433DCF">
            <w:pPr>
              <w:jc w:val="center"/>
            </w:pPr>
            <w:r w:rsidRPr="003620AD">
              <w:t>40.003,26</w:t>
            </w:r>
          </w:p>
        </w:tc>
        <w:tc>
          <w:tcPr>
            <w:tcW w:w="1560" w:type="dxa"/>
            <w:tcBorders>
              <w:top w:val="nil"/>
              <w:left w:val="nil"/>
              <w:bottom w:val="single" w:sz="8" w:space="0" w:color="auto"/>
              <w:right w:val="nil"/>
            </w:tcBorders>
          </w:tcPr>
          <w:p w:rsidR="00945AF5" w:rsidRPr="003620AD" w:rsidRDefault="00945AF5" w:rsidP="00433DCF">
            <w:pPr>
              <w:jc w:val="center"/>
            </w:pPr>
            <w:r w:rsidRPr="003620AD">
              <w:t>31.127,12</w:t>
            </w:r>
          </w:p>
        </w:tc>
        <w:tc>
          <w:tcPr>
            <w:tcW w:w="160" w:type="dxa"/>
            <w:tcBorders>
              <w:top w:val="nil"/>
              <w:left w:val="nil"/>
              <w:bottom w:val="single" w:sz="8" w:space="0" w:color="auto"/>
              <w:right w:val="single" w:sz="8" w:space="0" w:color="auto"/>
            </w:tcBorders>
          </w:tcPr>
          <w:p w:rsidR="00945AF5" w:rsidRPr="003620AD" w:rsidRDefault="00945AF5" w:rsidP="00433DCF">
            <w:pPr>
              <w:jc w:val="center"/>
            </w:pPr>
          </w:p>
        </w:tc>
        <w:tc>
          <w:tcPr>
            <w:tcW w:w="1540" w:type="dxa"/>
            <w:tcBorders>
              <w:top w:val="nil"/>
              <w:left w:val="nil"/>
              <w:bottom w:val="single" w:sz="8" w:space="0" w:color="auto"/>
              <w:right w:val="single" w:sz="8" w:space="0" w:color="auto"/>
            </w:tcBorders>
          </w:tcPr>
          <w:p w:rsidR="00945AF5" w:rsidRPr="003620AD" w:rsidRDefault="00945AF5" w:rsidP="00433DCF">
            <w:pPr>
              <w:jc w:val="center"/>
            </w:pPr>
            <w:r>
              <w:t>0,00</w:t>
            </w:r>
          </w:p>
        </w:tc>
      </w:tr>
      <w:tr w:rsidR="00945AF5" w:rsidRPr="00433DCF" w:rsidTr="00945AF5">
        <w:trPr>
          <w:trHeight w:val="330"/>
        </w:trPr>
        <w:tc>
          <w:tcPr>
            <w:tcW w:w="1488" w:type="dxa"/>
            <w:tcBorders>
              <w:top w:val="nil"/>
              <w:left w:val="single" w:sz="8" w:space="0" w:color="auto"/>
              <w:bottom w:val="single" w:sz="8" w:space="0" w:color="auto"/>
              <w:right w:val="single" w:sz="8" w:space="0" w:color="auto"/>
            </w:tcBorders>
          </w:tcPr>
          <w:p w:rsidR="00945AF5" w:rsidRPr="003620AD" w:rsidRDefault="00945AF5" w:rsidP="00433DCF">
            <w:pPr>
              <w:jc w:val="center"/>
            </w:pPr>
            <w:r w:rsidRPr="003620AD">
              <w:t>2004</w:t>
            </w:r>
          </w:p>
        </w:tc>
        <w:tc>
          <w:tcPr>
            <w:tcW w:w="1843" w:type="dxa"/>
            <w:tcBorders>
              <w:top w:val="nil"/>
              <w:left w:val="nil"/>
              <w:bottom w:val="single" w:sz="8" w:space="0" w:color="auto"/>
              <w:right w:val="single" w:sz="8" w:space="0" w:color="auto"/>
            </w:tcBorders>
          </w:tcPr>
          <w:p w:rsidR="00945AF5" w:rsidRPr="003620AD" w:rsidRDefault="00945AF5" w:rsidP="00433DCF">
            <w:pPr>
              <w:jc w:val="center"/>
            </w:pPr>
            <w:r w:rsidRPr="003620AD">
              <w:t>15.817,06</w:t>
            </w:r>
          </w:p>
        </w:tc>
        <w:tc>
          <w:tcPr>
            <w:tcW w:w="1560" w:type="dxa"/>
            <w:tcBorders>
              <w:top w:val="nil"/>
              <w:left w:val="nil"/>
              <w:bottom w:val="single" w:sz="8" w:space="0" w:color="auto"/>
              <w:right w:val="nil"/>
            </w:tcBorders>
          </w:tcPr>
          <w:p w:rsidR="00945AF5" w:rsidRPr="003620AD" w:rsidRDefault="00945AF5" w:rsidP="00433DCF">
            <w:pPr>
              <w:jc w:val="center"/>
            </w:pPr>
            <w:r w:rsidRPr="003620AD">
              <w:t>0,00</w:t>
            </w:r>
          </w:p>
        </w:tc>
        <w:tc>
          <w:tcPr>
            <w:tcW w:w="160" w:type="dxa"/>
            <w:tcBorders>
              <w:top w:val="nil"/>
              <w:left w:val="nil"/>
              <w:bottom w:val="single" w:sz="8" w:space="0" w:color="auto"/>
              <w:right w:val="single" w:sz="8" w:space="0" w:color="auto"/>
            </w:tcBorders>
          </w:tcPr>
          <w:p w:rsidR="00945AF5" w:rsidRPr="003620AD" w:rsidRDefault="00945AF5" w:rsidP="00433DCF">
            <w:pPr>
              <w:jc w:val="center"/>
            </w:pPr>
          </w:p>
        </w:tc>
        <w:tc>
          <w:tcPr>
            <w:tcW w:w="1540" w:type="dxa"/>
            <w:tcBorders>
              <w:top w:val="nil"/>
              <w:left w:val="nil"/>
              <w:bottom w:val="single" w:sz="8" w:space="0" w:color="auto"/>
              <w:right w:val="single" w:sz="8" w:space="0" w:color="auto"/>
            </w:tcBorders>
          </w:tcPr>
          <w:p w:rsidR="00945AF5" w:rsidRPr="003620AD" w:rsidRDefault="00945AF5" w:rsidP="00433DCF">
            <w:pPr>
              <w:jc w:val="center"/>
            </w:pPr>
            <w:r>
              <w:t>15.386,56</w:t>
            </w:r>
          </w:p>
        </w:tc>
      </w:tr>
      <w:tr w:rsidR="00945AF5" w:rsidRPr="00433DCF" w:rsidTr="00945AF5">
        <w:trPr>
          <w:trHeight w:val="330"/>
        </w:trPr>
        <w:tc>
          <w:tcPr>
            <w:tcW w:w="1488" w:type="dxa"/>
            <w:tcBorders>
              <w:top w:val="nil"/>
              <w:left w:val="single" w:sz="8" w:space="0" w:color="auto"/>
              <w:bottom w:val="single" w:sz="8" w:space="0" w:color="auto"/>
              <w:right w:val="single" w:sz="8" w:space="0" w:color="auto"/>
            </w:tcBorders>
          </w:tcPr>
          <w:p w:rsidR="00945AF5" w:rsidRPr="003620AD" w:rsidRDefault="00945AF5" w:rsidP="00433DCF">
            <w:pPr>
              <w:jc w:val="center"/>
            </w:pPr>
            <w:r w:rsidRPr="003620AD">
              <w:t>2005</w:t>
            </w:r>
          </w:p>
        </w:tc>
        <w:tc>
          <w:tcPr>
            <w:tcW w:w="1843" w:type="dxa"/>
            <w:tcBorders>
              <w:top w:val="nil"/>
              <w:left w:val="nil"/>
              <w:bottom w:val="single" w:sz="8" w:space="0" w:color="auto"/>
              <w:right w:val="single" w:sz="8" w:space="0" w:color="auto"/>
            </w:tcBorders>
          </w:tcPr>
          <w:p w:rsidR="00945AF5" w:rsidRPr="003620AD" w:rsidRDefault="00945AF5" w:rsidP="00433DCF">
            <w:pPr>
              <w:jc w:val="center"/>
            </w:pPr>
            <w:r w:rsidRPr="003620AD">
              <w:t>52.223,42</w:t>
            </w:r>
          </w:p>
        </w:tc>
        <w:tc>
          <w:tcPr>
            <w:tcW w:w="1560" w:type="dxa"/>
            <w:tcBorders>
              <w:top w:val="nil"/>
              <w:left w:val="nil"/>
              <w:bottom w:val="single" w:sz="8" w:space="0" w:color="auto"/>
              <w:right w:val="nil"/>
            </w:tcBorders>
          </w:tcPr>
          <w:p w:rsidR="00945AF5" w:rsidRPr="003620AD" w:rsidRDefault="00945AF5" w:rsidP="00433DCF">
            <w:pPr>
              <w:jc w:val="center"/>
            </w:pPr>
            <w:r w:rsidRPr="003620AD">
              <w:t>0,00</w:t>
            </w:r>
          </w:p>
        </w:tc>
        <w:tc>
          <w:tcPr>
            <w:tcW w:w="160" w:type="dxa"/>
            <w:tcBorders>
              <w:top w:val="nil"/>
              <w:left w:val="nil"/>
              <w:bottom w:val="single" w:sz="8" w:space="0" w:color="auto"/>
              <w:right w:val="single" w:sz="8" w:space="0" w:color="auto"/>
            </w:tcBorders>
          </w:tcPr>
          <w:p w:rsidR="00945AF5" w:rsidRPr="003620AD" w:rsidRDefault="00945AF5" w:rsidP="00433DCF">
            <w:pPr>
              <w:jc w:val="center"/>
            </w:pPr>
          </w:p>
        </w:tc>
        <w:tc>
          <w:tcPr>
            <w:tcW w:w="1540" w:type="dxa"/>
            <w:tcBorders>
              <w:top w:val="nil"/>
              <w:left w:val="nil"/>
              <w:bottom w:val="single" w:sz="8" w:space="0" w:color="auto"/>
              <w:right w:val="single" w:sz="8" w:space="0" w:color="auto"/>
            </w:tcBorders>
          </w:tcPr>
          <w:p w:rsidR="00945AF5" w:rsidRPr="003620AD" w:rsidRDefault="00945AF5" w:rsidP="00433DCF">
            <w:pPr>
              <w:jc w:val="center"/>
            </w:pPr>
            <w:r>
              <w:t>18.953,09</w:t>
            </w:r>
          </w:p>
        </w:tc>
      </w:tr>
      <w:tr w:rsidR="00945AF5" w:rsidRPr="00433DCF" w:rsidTr="00945AF5">
        <w:trPr>
          <w:trHeight w:val="330"/>
        </w:trPr>
        <w:tc>
          <w:tcPr>
            <w:tcW w:w="1488" w:type="dxa"/>
            <w:tcBorders>
              <w:top w:val="single" w:sz="8" w:space="0" w:color="auto"/>
              <w:left w:val="single" w:sz="8" w:space="0" w:color="auto"/>
              <w:bottom w:val="single" w:sz="8" w:space="0" w:color="auto"/>
              <w:right w:val="single" w:sz="8" w:space="0" w:color="auto"/>
            </w:tcBorders>
          </w:tcPr>
          <w:p w:rsidR="00945AF5" w:rsidRPr="00433DCF" w:rsidRDefault="00945AF5" w:rsidP="00433DCF">
            <w:pPr>
              <w:jc w:val="center"/>
              <w:rPr>
                <w:b/>
              </w:rPr>
            </w:pPr>
            <w:r w:rsidRPr="00433DCF">
              <w:rPr>
                <w:b/>
              </w:rPr>
              <w:t>TOTALE</w:t>
            </w:r>
          </w:p>
        </w:tc>
        <w:tc>
          <w:tcPr>
            <w:tcW w:w="1843" w:type="dxa"/>
            <w:tcBorders>
              <w:top w:val="single" w:sz="8" w:space="0" w:color="auto"/>
              <w:left w:val="nil"/>
              <w:bottom w:val="single" w:sz="8" w:space="0" w:color="auto"/>
              <w:right w:val="single" w:sz="8" w:space="0" w:color="auto"/>
            </w:tcBorders>
          </w:tcPr>
          <w:p w:rsidR="00945AF5" w:rsidRPr="00433DCF" w:rsidRDefault="00945AF5" w:rsidP="00433DCF">
            <w:pPr>
              <w:jc w:val="center"/>
              <w:rPr>
                <w:b/>
              </w:rPr>
            </w:pPr>
            <w:r w:rsidRPr="00433DCF">
              <w:rPr>
                <w:b/>
              </w:rPr>
              <w:t>184.815,62</w:t>
            </w:r>
          </w:p>
        </w:tc>
        <w:tc>
          <w:tcPr>
            <w:tcW w:w="1560" w:type="dxa"/>
            <w:tcBorders>
              <w:top w:val="single" w:sz="8" w:space="0" w:color="auto"/>
              <w:left w:val="nil"/>
              <w:bottom w:val="single" w:sz="8" w:space="0" w:color="auto"/>
              <w:right w:val="nil"/>
            </w:tcBorders>
          </w:tcPr>
          <w:p w:rsidR="00945AF5" w:rsidRPr="00433DCF" w:rsidRDefault="00945AF5" w:rsidP="00433DCF">
            <w:pPr>
              <w:jc w:val="center"/>
              <w:rPr>
                <w:b/>
              </w:rPr>
            </w:pPr>
            <w:r w:rsidRPr="00433DCF">
              <w:rPr>
                <w:b/>
              </w:rPr>
              <w:t>102.596,03</w:t>
            </w:r>
          </w:p>
        </w:tc>
        <w:tc>
          <w:tcPr>
            <w:tcW w:w="160" w:type="dxa"/>
            <w:tcBorders>
              <w:top w:val="single" w:sz="8" w:space="0" w:color="auto"/>
              <w:left w:val="nil"/>
              <w:bottom w:val="single" w:sz="8" w:space="0" w:color="auto"/>
              <w:right w:val="single" w:sz="8" w:space="0" w:color="auto"/>
            </w:tcBorders>
          </w:tcPr>
          <w:p w:rsidR="00945AF5" w:rsidRPr="00433DCF" w:rsidRDefault="00945AF5" w:rsidP="00433DCF">
            <w:pPr>
              <w:jc w:val="center"/>
              <w:rPr>
                <w:b/>
              </w:rPr>
            </w:pPr>
          </w:p>
        </w:tc>
        <w:tc>
          <w:tcPr>
            <w:tcW w:w="1540" w:type="dxa"/>
            <w:tcBorders>
              <w:top w:val="single" w:sz="8" w:space="0" w:color="auto"/>
              <w:left w:val="nil"/>
              <w:bottom w:val="single" w:sz="8" w:space="0" w:color="auto"/>
              <w:right w:val="single" w:sz="8" w:space="0" w:color="auto"/>
            </w:tcBorders>
          </w:tcPr>
          <w:p w:rsidR="00945AF5" w:rsidRPr="00433DCF" w:rsidRDefault="00945AF5" w:rsidP="00433DCF">
            <w:pPr>
              <w:jc w:val="center"/>
              <w:rPr>
                <w:b/>
              </w:rPr>
            </w:pPr>
            <w:r w:rsidRPr="00433DCF">
              <w:rPr>
                <w:b/>
              </w:rPr>
              <w:t>35.292,32</w:t>
            </w:r>
          </w:p>
        </w:tc>
      </w:tr>
    </w:tbl>
    <w:p w:rsidR="00433DCF" w:rsidRDefault="00433DCF" w:rsidP="00433DCF">
      <w:pPr>
        <w:jc w:val="both"/>
        <w:rPr>
          <w:rFonts w:eastAsia="Times New Roman"/>
          <w:b/>
          <w:lang w:eastAsia="it-IT"/>
        </w:rPr>
      </w:pPr>
    </w:p>
    <w:p w:rsidR="00433DCF" w:rsidRDefault="00433DCF" w:rsidP="00433DCF">
      <w:pPr>
        <w:jc w:val="both"/>
        <w:rPr>
          <w:rFonts w:eastAsia="Times New Roman"/>
          <w:b/>
          <w:lang w:eastAsia="it-IT"/>
        </w:rPr>
      </w:pPr>
    </w:p>
    <w:p w:rsidR="00433DCF" w:rsidRDefault="00433DCF" w:rsidP="00433DCF">
      <w:pPr>
        <w:jc w:val="both"/>
        <w:rPr>
          <w:rFonts w:eastAsia="Times New Roman"/>
          <w:b/>
          <w:lang w:eastAsia="it-IT"/>
        </w:rPr>
      </w:pPr>
    </w:p>
    <w:p w:rsidR="00433DCF" w:rsidRDefault="00433DCF" w:rsidP="00433DCF">
      <w:pPr>
        <w:jc w:val="both"/>
        <w:rPr>
          <w:rFonts w:eastAsia="Times New Roman"/>
          <w:b/>
          <w:lang w:eastAsia="it-IT"/>
        </w:rPr>
      </w:pPr>
    </w:p>
    <w:p w:rsidR="00FF3CBA" w:rsidRDefault="00FF3CBA" w:rsidP="00433DCF">
      <w:pPr>
        <w:jc w:val="both"/>
        <w:rPr>
          <w:rFonts w:ascii="BookmanOldStyle" w:hAnsi="BookmanOldStyle" w:cs="BookmanOldStyle"/>
          <w:color w:val="000000"/>
          <w:lang w:eastAsia="it-IT"/>
        </w:rPr>
      </w:pPr>
      <w:r>
        <w:rPr>
          <w:rFonts w:eastAsia="Times New Roman"/>
          <w:b/>
          <w:lang w:eastAsia="it-IT"/>
        </w:rPr>
        <w:t xml:space="preserve"> </w:t>
      </w:r>
    </w:p>
    <w:p w:rsidR="00433DCF" w:rsidRDefault="00433DCF">
      <w:pPr>
        <w:ind w:left="1276"/>
        <w:jc w:val="both"/>
        <w:rPr>
          <w:rFonts w:eastAsia="Times New Roman"/>
          <w:color w:val="000000"/>
          <w:lang w:eastAsia="it-IT"/>
        </w:rPr>
      </w:pPr>
    </w:p>
    <w:p w:rsidR="00433DCF" w:rsidRDefault="00433DCF">
      <w:pPr>
        <w:ind w:left="1276"/>
        <w:jc w:val="both"/>
        <w:rPr>
          <w:rFonts w:eastAsia="Times New Roman"/>
          <w:color w:val="000000"/>
          <w:lang w:eastAsia="it-IT"/>
        </w:rPr>
      </w:pPr>
    </w:p>
    <w:p w:rsidR="00433DCF" w:rsidRDefault="00433DCF">
      <w:pPr>
        <w:ind w:left="1276"/>
        <w:jc w:val="both"/>
        <w:rPr>
          <w:rFonts w:eastAsia="Times New Roman"/>
          <w:color w:val="000000"/>
          <w:lang w:eastAsia="it-IT"/>
        </w:rPr>
      </w:pPr>
    </w:p>
    <w:p w:rsidR="00433DCF" w:rsidRDefault="00433DCF">
      <w:pPr>
        <w:ind w:left="1276"/>
        <w:jc w:val="both"/>
        <w:rPr>
          <w:rFonts w:eastAsia="Times New Roman"/>
          <w:color w:val="000000"/>
          <w:lang w:eastAsia="it-IT"/>
        </w:rPr>
      </w:pPr>
    </w:p>
    <w:p w:rsidR="00433DCF" w:rsidRDefault="00433DCF">
      <w:pPr>
        <w:ind w:left="1276"/>
        <w:jc w:val="both"/>
        <w:rPr>
          <w:rFonts w:eastAsia="Times New Roman"/>
          <w:color w:val="000000"/>
          <w:lang w:eastAsia="it-IT"/>
        </w:rPr>
      </w:pPr>
    </w:p>
    <w:p w:rsidR="00433DCF" w:rsidRDefault="00433DCF">
      <w:pPr>
        <w:ind w:left="1276"/>
        <w:jc w:val="both"/>
        <w:rPr>
          <w:rFonts w:eastAsia="Times New Roman"/>
          <w:color w:val="000000"/>
          <w:lang w:eastAsia="it-IT"/>
        </w:rPr>
      </w:pPr>
    </w:p>
    <w:p w:rsidR="00433DCF" w:rsidRDefault="00433DCF">
      <w:pPr>
        <w:ind w:left="1276"/>
        <w:jc w:val="both"/>
        <w:rPr>
          <w:rFonts w:eastAsia="Times New Roman"/>
          <w:color w:val="000000"/>
          <w:lang w:eastAsia="it-IT"/>
        </w:rPr>
      </w:pPr>
    </w:p>
    <w:p w:rsidR="00433DCF" w:rsidRDefault="00433DCF">
      <w:pPr>
        <w:ind w:left="1276"/>
        <w:jc w:val="both"/>
        <w:rPr>
          <w:rFonts w:eastAsia="Times New Roman"/>
          <w:color w:val="000000"/>
          <w:lang w:eastAsia="it-IT"/>
        </w:rPr>
      </w:pPr>
    </w:p>
    <w:p w:rsidR="00433DCF" w:rsidRDefault="00433DCF">
      <w:pPr>
        <w:ind w:left="1276"/>
        <w:jc w:val="both"/>
        <w:rPr>
          <w:rFonts w:eastAsia="Times New Roman"/>
          <w:color w:val="000000"/>
          <w:lang w:eastAsia="it-IT"/>
        </w:rPr>
      </w:pPr>
    </w:p>
    <w:p w:rsidR="00433DCF" w:rsidRDefault="00433DCF">
      <w:pPr>
        <w:ind w:left="1276"/>
        <w:jc w:val="both"/>
        <w:rPr>
          <w:rFonts w:eastAsia="Times New Roman"/>
          <w:color w:val="000000"/>
          <w:lang w:eastAsia="it-IT"/>
        </w:rPr>
      </w:pPr>
    </w:p>
    <w:p w:rsidR="00433DCF" w:rsidRDefault="00433DCF">
      <w:pPr>
        <w:ind w:left="1276"/>
        <w:jc w:val="both"/>
        <w:rPr>
          <w:rFonts w:eastAsia="Times New Roman"/>
          <w:color w:val="000000"/>
          <w:lang w:eastAsia="it-IT"/>
        </w:rPr>
      </w:pPr>
    </w:p>
    <w:p w:rsidR="00FF3CBA" w:rsidRDefault="00FF3CBA">
      <w:pPr>
        <w:ind w:left="1276"/>
        <w:jc w:val="both"/>
        <w:rPr>
          <w:rFonts w:eastAsia="Times New Roman"/>
          <w:color w:val="000000"/>
          <w:lang w:eastAsia="it-IT"/>
        </w:rPr>
      </w:pPr>
      <w:r>
        <w:rPr>
          <w:rFonts w:eastAsia="Times New Roman"/>
          <w:color w:val="000000"/>
          <w:lang w:eastAsia="it-IT"/>
        </w:rPr>
        <w:t xml:space="preserve">Per quanto descritto nella tavola di cui sopra, si precisa che la differenza tra il residui al 31.12.2011 e l’importo riaccertato in data 28.01.2014, è stata riscossa nel corso del 2012 e 2013. </w:t>
      </w:r>
    </w:p>
    <w:p w:rsidR="00FF3CBA" w:rsidRDefault="00FF3CBA">
      <w:pPr>
        <w:ind w:left="1276"/>
        <w:jc w:val="both"/>
        <w:rPr>
          <w:rFonts w:ascii="BookmanOldStyle" w:hAnsi="BookmanOldStyle" w:cs="BookmanOldStyle"/>
          <w:color w:val="000000"/>
          <w:lang w:eastAsia="it-IT"/>
        </w:rPr>
      </w:pPr>
    </w:p>
    <w:p w:rsidR="00FF3CBA" w:rsidRDefault="00FF3CBA">
      <w:pPr>
        <w:numPr>
          <w:ilvl w:val="0"/>
          <w:numId w:val="10"/>
        </w:numPr>
        <w:jc w:val="both"/>
        <w:rPr>
          <w:rFonts w:ascii="BookmanOldStyle" w:hAnsi="BookmanOldStyle" w:cs="BookmanOldStyle"/>
          <w:color w:val="000000"/>
          <w:lang w:eastAsia="it-IT"/>
        </w:rPr>
      </w:pPr>
      <w:r>
        <w:rPr>
          <w:rFonts w:eastAsia="Times New Roman"/>
          <w:b/>
          <w:lang w:eastAsia="it-IT"/>
        </w:rPr>
        <w:t xml:space="preserve">Mantenimento in Bilancio di elevati residui passivi </w:t>
      </w:r>
      <w:r w:rsidR="00820A8E">
        <w:rPr>
          <w:rFonts w:eastAsia="Times New Roman"/>
          <w:b/>
          <w:lang w:eastAsia="it-IT"/>
        </w:rPr>
        <w:t xml:space="preserve">del titolo I° </w:t>
      </w:r>
      <w:r>
        <w:rPr>
          <w:rFonts w:eastAsia="Times New Roman"/>
          <w:b/>
          <w:lang w:eastAsia="it-IT"/>
        </w:rPr>
        <w:t>relativi ad esercizi precedenti il 2007</w:t>
      </w:r>
    </w:p>
    <w:p w:rsidR="00FF3CBA" w:rsidRDefault="00FF3CBA">
      <w:pPr>
        <w:numPr>
          <w:ilvl w:val="1"/>
          <w:numId w:val="12"/>
        </w:numPr>
        <w:tabs>
          <w:tab w:val="clear" w:pos="2356"/>
          <w:tab w:val="num" w:pos="1680"/>
        </w:tabs>
        <w:ind w:left="1680"/>
        <w:jc w:val="both"/>
        <w:rPr>
          <w:rFonts w:eastAsia="Times New Roman"/>
          <w:u w:val="single"/>
          <w:lang w:eastAsia="it-IT"/>
        </w:rPr>
      </w:pPr>
      <w:r>
        <w:rPr>
          <w:rFonts w:eastAsia="Times New Roman"/>
          <w:u w:val="single"/>
          <w:lang w:eastAsia="it-IT"/>
        </w:rPr>
        <w:t xml:space="preserve">Residui passivi del Titolo I per € 287.042,41: </w:t>
      </w:r>
      <w:r>
        <w:rPr>
          <w:rFonts w:eastAsia="Times New Roman"/>
          <w:lang w:eastAsia="it-IT"/>
        </w:rPr>
        <w:t>in linea di massima sono da mantenere a meno di quanto di seguito riportato:</w:t>
      </w:r>
    </w:p>
    <w:tbl>
      <w:tblPr>
        <w:tblpPr w:leftFromText="141" w:rightFromText="141" w:vertAnchor="text" w:horzAnchor="margin" w:tblpXSpec="center" w:tblpY="160"/>
        <w:tblW w:w="7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0"/>
        <w:gridCol w:w="1800"/>
        <w:gridCol w:w="2160"/>
        <w:gridCol w:w="1447"/>
      </w:tblGrid>
      <w:tr w:rsidR="00FF3CBA">
        <w:trPr>
          <w:trHeight w:val="1608"/>
        </w:trPr>
        <w:tc>
          <w:tcPr>
            <w:tcW w:w="2470" w:type="dxa"/>
            <w:vAlign w:val="center"/>
          </w:tcPr>
          <w:p w:rsidR="00FF3CBA" w:rsidRDefault="00FF3CBA">
            <w:pPr>
              <w:jc w:val="center"/>
              <w:rPr>
                <w:rFonts w:eastAsia="Times New Roman"/>
                <w:b/>
                <w:bCs/>
                <w:lang w:eastAsia="it-IT"/>
              </w:rPr>
            </w:pPr>
            <w:r>
              <w:rPr>
                <w:rFonts w:eastAsia="Times New Roman"/>
                <w:b/>
                <w:bCs/>
                <w:lang w:eastAsia="it-IT"/>
              </w:rPr>
              <w:t>Esercizio di provenienza</w:t>
            </w:r>
          </w:p>
        </w:tc>
        <w:tc>
          <w:tcPr>
            <w:tcW w:w="1800" w:type="dxa"/>
            <w:vAlign w:val="center"/>
          </w:tcPr>
          <w:p w:rsidR="00FF3CBA" w:rsidRDefault="00FF3CBA">
            <w:pPr>
              <w:jc w:val="center"/>
              <w:rPr>
                <w:rFonts w:eastAsia="Times New Roman"/>
                <w:b/>
                <w:bCs/>
                <w:lang w:eastAsia="it-IT"/>
              </w:rPr>
            </w:pPr>
            <w:r>
              <w:rPr>
                <w:rFonts w:eastAsia="Times New Roman"/>
                <w:b/>
                <w:bCs/>
                <w:lang w:eastAsia="it-IT"/>
              </w:rPr>
              <w:t>Riaccertamento residuo al 31/12/2011</w:t>
            </w:r>
          </w:p>
        </w:tc>
        <w:tc>
          <w:tcPr>
            <w:tcW w:w="2160" w:type="dxa"/>
            <w:vAlign w:val="center"/>
          </w:tcPr>
          <w:p w:rsidR="00FF3CBA" w:rsidRDefault="00FF3CBA">
            <w:pPr>
              <w:jc w:val="center"/>
              <w:rPr>
                <w:rFonts w:eastAsia="Times New Roman"/>
                <w:b/>
                <w:bCs/>
                <w:lang w:eastAsia="it-IT"/>
              </w:rPr>
            </w:pPr>
            <w:r>
              <w:rPr>
                <w:rFonts w:eastAsia="Times New Roman"/>
                <w:b/>
                <w:bCs/>
                <w:lang w:eastAsia="it-IT"/>
              </w:rPr>
              <w:t>Importo cancellato in sede di riaccertamento residui del 28/1/2014</w:t>
            </w:r>
          </w:p>
        </w:tc>
        <w:tc>
          <w:tcPr>
            <w:tcW w:w="1440" w:type="dxa"/>
            <w:vAlign w:val="center"/>
          </w:tcPr>
          <w:p w:rsidR="00FF3CBA" w:rsidRDefault="00FF3CBA">
            <w:pPr>
              <w:jc w:val="center"/>
              <w:rPr>
                <w:rFonts w:eastAsia="Times New Roman"/>
                <w:b/>
                <w:bCs/>
                <w:lang w:eastAsia="it-IT"/>
              </w:rPr>
            </w:pPr>
            <w:r>
              <w:rPr>
                <w:rFonts w:eastAsia="Times New Roman"/>
                <w:b/>
                <w:bCs/>
                <w:lang w:eastAsia="it-IT"/>
              </w:rPr>
              <w:t>Importo da reimpegnare Rendiconto 2013</w:t>
            </w:r>
          </w:p>
        </w:tc>
      </w:tr>
      <w:tr w:rsidR="00FF3CBA">
        <w:trPr>
          <w:trHeight w:val="330"/>
        </w:trPr>
        <w:tc>
          <w:tcPr>
            <w:tcW w:w="2470" w:type="dxa"/>
          </w:tcPr>
          <w:p w:rsidR="00FF3CBA" w:rsidRDefault="00FF3CBA">
            <w:pPr>
              <w:jc w:val="center"/>
              <w:rPr>
                <w:rFonts w:eastAsia="Times New Roman"/>
                <w:lang w:eastAsia="it-IT"/>
              </w:rPr>
            </w:pPr>
            <w:r>
              <w:rPr>
                <w:rFonts w:eastAsia="Times New Roman"/>
                <w:lang w:eastAsia="it-IT"/>
              </w:rPr>
              <w:t>2003</w:t>
            </w:r>
          </w:p>
        </w:tc>
        <w:tc>
          <w:tcPr>
            <w:tcW w:w="1800" w:type="dxa"/>
          </w:tcPr>
          <w:p w:rsidR="00FF3CBA" w:rsidRDefault="00FF3CBA">
            <w:pPr>
              <w:jc w:val="right"/>
              <w:rPr>
                <w:rFonts w:eastAsia="Times New Roman"/>
                <w:lang w:eastAsia="it-IT"/>
              </w:rPr>
            </w:pPr>
            <w:r>
              <w:rPr>
                <w:rFonts w:eastAsia="Times New Roman"/>
                <w:lang w:eastAsia="it-IT"/>
              </w:rPr>
              <w:t>4.700,00</w:t>
            </w:r>
          </w:p>
        </w:tc>
        <w:tc>
          <w:tcPr>
            <w:tcW w:w="2160" w:type="dxa"/>
          </w:tcPr>
          <w:p w:rsidR="00FF3CBA" w:rsidRDefault="00FF3CBA">
            <w:pPr>
              <w:jc w:val="right"/>
              <w:rPr>
                <w:rFonts w:eastAsia="Times New Roman"/>
                <w:lang w:eastAsia="it-IT"/>
              </w:rPr>
            </w:pPr>
            <w:r>
              <w:rPr>
                <w:rFonts w:eastAsia="Times New Roman"/>
                <w:lang w:eastAsia="it-IT"/>
              </w:rPr>
              <w:t>700,00</w:t>
            </w:r>
          </w:p>
        </w:tc>
        <w:tc>
          <w:tcPr>
            <w:tcW w:w="1440" w:type="dxa"/>
          </w:tcPr>
          <w:p w:rsidR="00FF3CBA" w:rsidRDefault="00FF3CBA">
            <w:pPr>
              <w:jc w:val="right"/>
              <w:rPr>
                <w:rFonts w:eastAsia="Times New Roman"/>
                <w:lang w:eastAsia="it-IT"/>
              </w:rPr>
            </w:pPr>
            <w:r>
              <w:rPr>
                <w:rFonts w:eastAsia="Times New Roman"/>
                <w:lang w:eastAsia="it-IT"/>
              </w:rPr>
              <w:t>4.000,00</w:t>
            </w:r>
          </w:p>
        </w:tc>
      </w:tr>
      <w:tr w:rsidR="00FF3CBA">
        <w:trPr>
          <w:trHeight w:val="330"/>
        </w:trPr>
        <w:tc>
          <w:tcPr>
            <w:tcW w:w="2470" w:type="dxa"/>
          </w:tcPr>
          <w:p w:rsidR="00FF3CBA" w:rsidRDefault="00FF3CBA">
            <w:pPr>
              <w:jc w:val="center"/>
              <w:rPr>
                <w:rFonts w:eastAsia="Times New Roman"/>
                <w:lang w:eastAsia="it-IT"/>
              </w:rPr>
            </w:pPr>
            <w:r>
              <w:rPr>
                <w:rFonts w:eastAsia="Times New Roman"/>
                <w:lang w:eastAsia="it-IT"/>
              </w:rPr>
              <w:t>2006</w:t>
            </w:r>
          </w:p>
        </w:tc>
        <w:tc>
          <w:tcPr>
            <w:tcW w:w="1800" w:type="dxa"/>
          </w:tcPr>
          <w:p w:rsidR="00FF3CBA" w:rsidRDefault="00FF3CBA">
            <w:pPr>
              <w:jc w:val="right"/>
              <w:rPr>
                <w:rFonts w:eastAsia="Times New Roman"/>
                <w:lang w:eastAsia="it-IT"/>
              </w:rPr>
            </w:pPr>
            <w:r>
              <w:rPr>
                <w:rFonts w:eastAsia="Times New Roman"/>
                <w:lang w:eastAsia="it-IT"/>
              </w:rPr>
              <w:t>50.000,00</w:t>
            </w:r>
          </w:p>
        </w:tc>
        <w:tc>
          <w:tcPr>
            <w:tcW w:w="2160" w:type="dxa"/>
          </w:tcPr>
          <w:p w:rsidR="00FF3CBA" w:rsidRDefault="00FF3CBA">
            <w:pPr>
              <w:jc w:val="right"/>
              <w:rPr>
                <w:rFonts w:eastAsia="Times New Roman"/>
                <w:lang w:eastAsia="it-IT"/>
              </w:rPr>
            </w:pPr>
            <w:r>
              <w:rPr>
                <w:rFonts w:eastAsia="Times New Roman"/>
                <w:lang w:eastAsia="it-IT"/>
              </w:rPr>
              <w:t>50.000,00</w:t>
            </w:r>
          </w:p>
        </w:tc>
        <w:tc>
          <w:tcPr>
            <w:tcW w:w="1440" w:type="dxa"/>
          </w:tcPr>
          <w:p w:rsidR="00FF3CBA" w:rsidRDefault="00FF3CBA">
            <w:pPr>
              <w:jc w:val="right"/>
              <w:rPr>
                <w:rFonts w:eastAsia="Times New Roman"/>
                <w:lang w:eastAsia="it-IT"/>
              </w:rPr>
            </w:pPr>
            <w:r>
              <w:rPr>
                <w:rFonts w:eastAsia="Times New Roman"/>
                <w:lang w:eastAsia="it-IT"/>
              </w:rPr>
              <w:t>0,00</w:t>
            </w:r>
          </w:p>
        </w:tc>
      </w:tr>
      <w:tr w:rsidR="00FF3CBA">
        <w:trPr>
          <w:trHeight w:val="330"/>
        </w:trPr>
        <w:tc>
          <w:tcPr>
            <w:tcW w:w="2470" w:type="dxa"/>
            <w:noWrap/>
            <w:vAlign w:val="bottom"/>
          </w:tcPr>
          <w:p w:rsidR="00FF3CBA" w:rsidRDefault="00FF3CBA">
            <w:pPr>
              <w:rPr>
                <w:rFonts w:ascii="Arial" w:hAnsi="Arial" w:cs="Arial"/>
                <w:b/>
                <w:bCs/>
                <w:sz w:val="20"/>
                <w:szCs w:val="20"/>
                <w:lang w:eastAsia="it-IT"/>
              </w:rPr>
            </w:pPr>
            <w:r>
              <w:rPr>
                <w:rFonts w:ascii="Arial" w:hAnsi="Arial" w:cs="Arial"/>
                <w:b/>
                <w:bCs/>
                <w:sz w:val="20"/>
                <w:szCs w:val="20"/>
                <w:lang w:eastAsia="it-IT"/>
              </w:rPr>
              <w:t>TOTALE</w:t>
            </w:r>
          </w:p>
        </w:tc>
        <w:tc>
          <w:tcPr>
            <w:tcW w:w="1800" w:type="dxa"/>
            <w:noWrap/>
            <w:vAlign w:val="bottom"/>
          </w:tcPr>
          <w:p w:rsidR="00FF3CBA" w:rsidRDefault="00FF3CBA">
            <w:pPr>
              <w:jc w:val="right"/>
              <w:rPr>
                <w:rFonts w:ascii="Arial" w:hAnsi="Arial" w:cs="Arial"/>
                <w:b/>
                <w:bCs/>
                <w:lang w:eastAsia="it-IT"/>
              </w:rPr>
            </w:pPr>
            <w:r>
              <w:rPr>
                <w:rFonts w:ascii="Arial" w:hAnsi="Arial" w:cs="Arial"/>
                <w:b/>
                <w:bCs/>
                <w:sz w:val="22"/>
                <w:szCs w:val="22"/>
                <w:lang w:eastAsia="it-IT"/>
              </w:rPr>
              <w:t>54.700,00</w:t>
            </w:r>
          </w:p>
        </w:tc>
        <w:tc>
          <w:tcPr>
            <w:tcW w:w="2160" w:type="dxa"/>
            <w:noWrap/>
            <w:vAlign w:val="bottom"/>
          </w:tcPr>
          <w:p w:rsidR="00FF3CBA" w:rsidRDefault="00FF3CBA">
            <w:pPr>
              <w:jc w:val="right"/>
              <w:rPr>
                <w:rFonts w:ascii="Arial" w:hAnsi="Arial" w:cs="Arial"/>
                <w:b/>
                <w:bCs/>
                <w:lang w:eastAsia="it-IT"/>
              </w:rPr>
            </w:pPr>
            <w:r>
              <w:rPr>
                <w:rFonts w:ascii="Arial" w:hAnsi="Arial" w:cs="Arial"/>
                <w:b/>
                <w:bCs/>
                <w:sz w:val="22"/>
                <w:szCs w:val="22"/>
                <w:lang w:eastAsia="it-IT"/>
              </w:rPr>
              <w:t>50.700,00</w:t>
            </w:r>
          </w:p>
        </w:tc>
        <w:tc>
          <w:tcPr>
            <w:tcW w:w="1440" w:type="dxa"/>
            <w:noWrap/>
            <w:vAlign w:val="bottom"/>
          </w:tcPr>
          <w:p w:rsidR="00FF3CBA" w:rsidRDefault="00FF3CBA">
            <w:pPr>
              <w:jc w:val="right"/>
              <w:rPr>
                <w:rFonts w:ascii="Arial" w:hAnsi="Arial" w:cs="Arial"/>
                <w:b/>
                <w:bCs/>
                <w:lang w:eastAsia="it-IT"/>
              </w:rPr>
            </w:pPr>
            <w:r>
              <w:rPr>
                <w:rFonts w:ascii="Arial" w:hAnsi="Arial" w:cs="Arial"/>
                <w:b/>
                <w:bCs/>
                <w:sz w:val="22"/>
                <w:szCs w:val="22"/>
                <w:lang w:eastAsia="it-IT"/>
              </w:rPr>
              <w:t>4.000,00</w:t>
            </w:r>
          </w:p>
        </w:tc>
      </w:tr>
    </w:tbl>
    <w:p w:rsidR="00FF3CBA" w:rsidRDefault="00FF3CBA">
      <w:pPr>
        <w:jc w:val="both"/>
        <w:rPr>
          <w:rFonts w:eastAsia="Times New Roman"/>
          <w:u w:val="single"/>
          <w:lang w:eastAsia="it-IT"/>
        </w:rPr>
      </w:pPr>
    </w:p>
    <w:p w:rsidR="00FF3CBA" w:rsidRDefault="00FF3CBA">
      <w:pPr>
        <w:jc w:val="both"/>
        <w:rPr>
          <w:rFonts w:eastAsia="Times New Roman"/>
          <w:u w:val="single"/>
          <w:lang w:eastAsia="it-IT"/>
        </w:rPr>
      </w:pPr>
    </w:p>
    <w:p w:rsidR="00FF3CBA" w:rsidRDefault="00FF3CBA">
      <w:pPr>
        <w:ind w:left="2880" w:hanging="1200"/>
        <w:jc w:val="both"/>
        <w:rPr>
          <w:rFonts w:eastAsia="Times New Roman"/>
          <w:lang w:eastAsia="it-IT"/>
        </w:rPr>
      </w:pPr>
    </w:p>
    <w:p w:rsidR="00FF3CBA" w:rsidRDefault="00FF3CBA">
      <w:pPr>
        <w:ind w:left="2880" w:hanging="1200"/>
        <w:jc w:val="both"/>
        <w:rPr>
          <w:rFonts w:eastAsia="Times New Roman"/>
          <w:lang w:eastAsia="it-IT"/>
        </w:rPr>
      </w:pPr>
    </w:p>
    <w:p w:rsidR="00FF3CBA" w:rsidRDefault="00FF3CBA">
      <w:pPr>
        <w:ind w:left="2880" w:hanging="1200"/>
        <w:jc w:val="both"/>
        <w:rPr>
          <w:rFonts w:eastAsia="Times New Roman"/>
          <w:lang w:eastAsia="it-IT"/>
        </w:rPr>
      </w:pPr>
    </w:p>
    <w:p w:rsidR="00FF3CBA" w:rsidRDefault="00FF3CBA">
      <w:pPr>
        <w:ind w:left="2880" w:hanging="1200"/>
        <w:jc w:val="both"/>
        <w:rPr>
          <w:rFonts w:eastAsia="Times New Roman"/>
          <w:lang w:eastAsia="it-IT"/>
        </w:rPr>
      </w:pPr>
    </w:p>
    <w:p w:rsidR="00FF3CBA" w:rsidRDefault="00FF3CBA">
      <w:pPr>
        <w:ind w:left="2880" w:hanging="1200"/>
        <w:jc w:val="both"/>
        <w:rPr>
          <w:rFonts w:eastAsia="Times New Roman"/>
          <w:lang w:eastAsia="it-IT"/>
        </w:rPr>
      </w:pPr>
    </w:p>
    <w:p w:rsidR="00FF3CBA" w:rsidRDefault="00FF3CBA">
      <w:pPr>
        <w:ind w:left="2880" w:hanging="1200"/>
        <w:jc w:val="both"/>
        <w:rPr>
          <w:rFonts w:eastAsia="Times New Roman"/>
          <w:lang w:eastAsia="it-IT"/>
        </w:rPr>
      </w:pPr>
    </w:p>
    <w:p w:rsidR="00FF3CBA" w:rsidRDefault="00FF3CBA">
      <w:pPr>
        <w:ind w:left="2880" w:hanging="1200"/>
        <w:jc w:val="both"/>
        <w:rPr>
          <w:rFonts w:eastAsia="Times New Roman"/>
          <w:lang w:eastAsia="it-IT"/>
        </w:rPr>
      </w:pPr>
    </w:p>
    <w:p w:rsidR="00FF3CBA" w:rsidRDefault="00FF3CBA">
      <w:pPr>
        <w:ind w:left="2880" w:hanging="1200"/>
        <w:jc w:val="both"/>
        <w:rPr>
          <w:rFonts w:eastAsia="Times New Roman"/>
          <w:lang w:eastAsia="it-IT"/>
        </w:rPr>
      </w:pPr>
    </w:p>
    <w:p w:rsidR="00FF3CBA" w:rsidRDefault="00FF3CBA">
      <w:pPr>
        <w:ind w:left="2880" w:hanging="1200"/>
        <w:jc w:val="both"/>
        <w:rPr>
          <w:rFonts w:eastAsia="Times New Roman"/>
          <w:lang w:eastAsia="it-IT"/>
        </w:rPr>
      </w:pPr>
    </w:p>
    <w:p w:rsidR="00FF3CBA" w:rsidRDefault="00FF3CBA">
      <w:pPr>
        <w:jc w:val="both"/>
        <w:rPr>
          <w:rFonts w:eastAsia="Times New Roman"/>
          <w:lang w:eastAsia="it-IT"/>
        </w:rPr>
      </w:pPr>
    </w:p>
    <w:p w:rsidR="00FF3CBA" w:rsidRDefault="00FF3CBA">
      <w:pPr>
        <w:ind w:left="1200"/>
        <w:jc w:val="both"/>
        <w:rPr>
          <w:rFonts w:eastAsia="Times New Roman"/>
          <w:lang w:eastAsia="it-IT"/>
        </w:rPr>
      </w:pPr>
      <w:r>
        <w:rPr>
          <w:rFonts w:eastAsia="Times New Roman"/>
          <w:lang w:eastAsia="it-IT"/>
        </w:rPr>
        <w:t>Complessivamente i residui passivi di cui trattasi sono stati ridotti di € 50.700,00 con Determina del Responsabile del Servizio Finanziario n.1 del 28/1/2014 e pertanto essi non saranno più presenti nel prossimo Rendiconto 2013. In particolare si segnala che:</w:t>
      </w:r>
    </w:p>
    <w:p w:rsidR="00FF3CBA" w:rsidRDefault="00FF3CBA">
      <w:pPr>
        <w:ind w:left="1200"/>
        <w:jc w:val="both"/>
        <w:rPr>
          <w:rFonts w:eastAsia="Times New Roman"/>
          <w:lang w:eastAsia="it-IT"/>
        </w:rPr>
      </w:pPr>
      <w:r>
        <w:rPr>
          <w:rFonts w:eastAsia="Times New Roman"/>
          <w:lang w:eastAsia="it-IT"/>
        </w:rPr>
        <w:t>-  € 700,00 (esercizio 2003) si riferivano ad un impegno di spesa per incarico a legale di fiducia dell’amministrazione e che ad oggi, trascorsi oltre dieci anni, il procedimento risulta estinto;</w:t>
      </w:r>
    </w:p>
    <w:p w:rsidR="00FF3CBA" w:rsidRDefault="00FF3CBA">
      <w:pPr>
        <w:ind w:left="1200"/>
        <w:jc w:val="both"/>
        <w:rPr>
          <w:rFonts w:eastAsia="Times New Roman"/>
          <w:lang w:eastAsia="it-IT"/>
        </w:rPr>
      </w:pPr>
      <w:r>
        <w:rPr>
          <w:rFonts w:eastAsia="Times New Roman"/>
          <w:lang w:eastAsia="it-IT"/>
        </w:rPr>
        <w:t xml:space="preserve">- € 50.000,00 era riferito ad un debito nei confronti del Comune di Campobello di Mazara per spese di conferimento in discarica. La predetta cifra è stata inserita in un successivo piano di rientro che impegna l’amministrazione per sei anni e che trova stanziamento in apposito intervento tra i residui passivi. </w:t>
      </w:r>
    </w:p>
    <w:p w:rsidR="00FF3CBA" w:rsidRDefault="00FF3CBA">
      <w:pPr>
        <w:ind w:left="1200"/>
        <w:jc w:val="both"/>
        <w:rPr>
          <w:rFonts w:eastAsia="Times New Roman"/>
          <w:lang w:eastAsia="it-IT"/>
        </w:rPr>
      </w:pPr>
      <w:r>
        <w:rPr>
          <w:rFonts w:eastAsia="Times New Roman"/>
          <w:lang w:eastAsia="it-IT"/>
        </w:rPr>
        <w:lastRenderedPageBreak/>
        <w:t>(</w:t>
      </w:r>
      <w:r w:rsidR="003006B0" w:rsidRPr="003006B0">
        <w:rPr>
          <w:rFonts w:eastAsia="Times New Roman"/>
          <w:b/>
          <w:lang w:eastAsia="it-IT"/>
        </w:rPr>
        <w:t>Allegat</w:t>
      </w:r>
      <w:r w:rsidRPr="003006B0">
        <w:rPr>
          <w:rFonts w:eastAsia="Times New Roman"/>
          <w:b/>
          <w:lang w:eastAsia="it-IT"/>
        </w:rPr>
        <w:t xml:space="preserve">o </w:t>
      </w:r>
      <w:r w:rsidR="003006B0" w:rsidRPr="003006B0">
        <w:rPr>
          <w:rFonts w:eastAsia="Times New Roman"/>
          <w:b/>
          <w:lang w:eastAsia="it-IT"/>
        </w:rPr>
        <w:t>D</w:t>
      </w:r>
      <w:r w:rsidR="003006B0">
        <w:rPr>
          <w:rFonts w:eastAsia="Times New Roman"/>
          <w:b/>
          <w:lang w:eastAsia="it-IT"/>
        </w:rPr>
        <w:t xml:space="preserve"> - </w:t>
      </w:r>
      <w:r>
        <w:rPr>
          <w:rFonts w:eastAsia="Times New Roman"/>
          <w:lang w:eastAsia="it-IT"/>
        </w:rPr>
        <w:t>schede di verifica dei residui)</w:t>
      </w:r>
    </w:p>
    <w:p w:rsidR="00FF3CBA" w:rsidRDefault="00FF3CBA">
      <w:pPr>
        <w:ind w:left="1200"/>
        <w:jc w:val="both"/>
        <w:rPr>
          <w:rFonts w:eastAsia="Times New Roman"/>
          <w:lang w:eastAsia="it-IT"/>
        </w:rPr>
      </w:pPr>
    </w:p>
    <w:p w:rsidR="00FF3CBA" w:rsidRDefault="00FF3CBA">
      <w:pPr>
        <w:numPr>
          <w:ilvl w:val="0"/>
          <w:numId w:val="10"/>
        </w:numPr>
        <w:jc w:val="both"/>
        <w:rPr>
          <w:rFonts w:ascii="BookmanOldStyle" w:hAnsi="BookmanOldStyle" w:cs="BookmanOldStyle"/>
          <w:color w:val="000000"/>
          <w:lang w:eastAsia="it-IT"/>
        </w:rPr>
      </w:pPr>
      <w:r>
        <w:rPr>
          <w:rFonts w:eastAsia="Times New Roman"/>
          <w:b/>
          <w:lang w:eastAsia="it-IT"/>
        </w:rPr>
        <w:t>Un notevole divario fra residui attivi e passivi attinenti ai servizi c/terzi per gli esercizi precedenti il 2007</w:t>
      </w:r>
    </w:p>
    <w:p w:rsidR="00FF3CBA" w:rsidRDefault="00FF3CBA">
      <w:pPr>
        <w:ind w:left="1125"/>
        <w:jc w:val="both"/>
      </w:pPr>
      <w:r>
        <w:t xml:space="preserve">In merito si rileva che in sede di verifica dei residui a consuntivo 2012, sono stati eliminati residui passivi per insussistenza ammontanti ad </w:t>
      </w:r>
      <w:r w:rsidRPr="00B01210">
        <w:t>€ 869,87.</w:t>
      </w:r>
    </w:p>
    <w:p w:rsidR="00FF3CBA" w:rsidRDefault="00FF3CBA">
      <w:pPr>
        <w:ind w:left="1125"/>
        <w:jc w:val="both"/>
      </w:pPr>
      <w:r>
        <w:t xml:space="preserve">Inoltre, con verifica straordinaria del </w:t>
      </w:r>
      <w:r>
        <w:rPr>
          <w:rFonts w:eastAsia="Times New Roman"/>
          <w:lang w:eastAsia="it-IT"/>
        </w:rPr>
        <w:t>28</w:t>
      </w:r>
      <w:r>
        <w:t>/1/2014, si provvede all’eliminazione dei seguenti ulteriori RESIDUI PASSIVI:</w:t>
      </w:r>
    </w:p>
    <w:p w:rsidR="00FF3CBA" w:rsidRDefault="00FF3CBA">
      <w:pPr>
        <w:ind w:left="1125"/>
        <w:jc w:val="both"/>
      </w:pPr>
    </w:p>
    <w:tbl>
      <w:tblPr>
        <w:tblW w:w="6174"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4"/>
        <w:gridCol w:w="1766"/>
        <w:gridCol w:w="1700"/>
        <w:gridCol w:w="1314"/>
      </w:tblGrid>
      <w:tr w:rsidR="00945AF5" w:rsidTr="00945AF5">
        <w:trPr>
          <w:trHeight w:val="2280"/>
          <w:jc w:val="center"/>
        </w:trPr>
        <w:tc>
          <w:tcPr>
            <w:tcW w:w="1394" w:type="dxa"/>
            <w:vAlign w:val="center"/>
          </w:tcPr>
          <w:p w:rsidR="00945AF5" w:rsidRDefault="00945AF5">
            <w:pPr>
              <w:jc w:val="center"/>
              <w:rPr>
                <w:rFonts w:eastAsia="Times New Roman"/>
                <w:b/>
                <w:bCs/>
                <w:lang w:eastAsia="it-IT"/>
              </w:rPr>
            </w:pPr>
            <w:r>
              <w:rPr>
                <w:rFonts w:eastAsia="Times New Roman"/>
                <w:b/>
                <w:bCs/>
                <w:lang w:eastAsia="it-IT"/>
              </w:rPr>
              <w:t>Esercizio di provenienza</w:t>
            </w:r>
          </w:p>
        </w:tc>
        <w:tc>
          <w:tcPr>
            <w:tcW w:w="1766" w:type="dxa"/>
            <w:vAlign w:val="center"/>
          </w:tcPr>
          <w:p w:rsidR="00945AF5" w:rsidRDefault="00945AF5">
            <w:pPr>
              <w:jc w:val="center"/>
              <w:rPr>
                <w:rFonts w:eastAsia="Times New Roman"/>
                <w:b/>
                <w:bCs/>
                <w:lang w:eastAsia="it-IT"/>
              </w:rPr>
            </w:pPr>
            <w:r>
              <w:rPr>
                <w:rFonts w:eastAsia="Times New Roman"/>
                <w:b/>
                <w:bCs/>
                <w:lang w:eastAsia="it-IT"/>
              </w:rPr>
              <w:t>Riaccertamento residuo al 31/12/2011</w:t>
            </w:r>
          </w:p>
        </w:tc>
        <w:tc>
          <w:tcPr>
            <w:tcW w:w="1700" w:type="dxa"/>
            <w:vAlign w:val="center"/>
          </w:tcPr>
          <w:p w:rsidR="00945AF5" w:rsidRDefault="00945AF5" w:rsidP="00664A2D">
            <w:pPr>
              <w:jc w:val="center"/>
              <w:rPr>
                <w:rFonts w:eastAsia="Times New Roman"/>
                <w:b/>
                <w:bCs/>
                <w:lang w:eastAsia="it-IT"/>
              </w:rPr>
            </w:pPr>
            <w:r>
              <w:rPr>
                <w:rFonts w:eastAsia="Times New Roman"/>
                <w:b/>
                <w:bCs/>
                <w:lang w:eastAsia="it-IT"/>
              </w:rPr>
              <w:t>Importo cancellato in sede di riaccertamento residui del 28/1/2014</w:t>
            </w:r>
          </w:p>
        </w:tc>
        <w:tc>
          <w:tcPr>
            <w:tcW w:w="1314" w:type="dxa"/>
            <w:vAlign w:val="center"/>
          </w:tcPr>
          <w:p w:rsidR="00945AF5" w:rsidRDefault="00945AF5" w:rsidP="00664A2D">
            <w:pPr>
              <w:jc w:val="center"/>
              <w:rPr>
                <w:rFonts w:eastAsia="Times New Roman"/>
                <w:b/>
                <w:bCs/>
                <w:lang w:eastAsia="it-IT"/>
              </w:rPr>
            </w:pPr>
            <w:r>
              <w:rPr>
                <w:rFonts w:eastAsia="Times New Roman"/>
                <w:b/>
                <w:bCs/>
                <w:lang w:eastAsia="it-IT"/>
              </w:rPr>
              <w:t>Importo da riaccertare Rendiconto 2013</w:t>
            </w:r>
          </w:p>
        </w:tc>
      </w:tr>
      <w:tr w:rsidR="00945AF5" w:rsidTr="00945AF5">
        <w:trPr>
          <w:trHeight w:val="330"/>
          <w:jc w:val="center"/>
        </w:trPr>
        <w:tc>
          <w:tcPr>
            <w:tcW w:w="1394" w:type="dxa"/>
          </w:tcPr>
          <w:p w:rsidR="00945AF5" w:rsidRDefault="00945AF5">
            <w:pPr>
              <w:jc w:val="center"/>
              <w:rPr>
                <w:rFonts w:eastAsia="Times New Roman"/>
                <w:lang w:eastAsia="it-IT"/>
              </w:rPr>
            </w:pPr>
            <w:r>
              <w:rPr>
                <w:rFonts w:eastAsia="Times New Roman"/>
                <w:lang w:eastAsia="it-IT"/>
              </w:rPr>
              <w:t>2003</w:t>
            </w:r>
          </w:p>
        </w:tc>
        <w:tc>
          <w:tcPr>
            <w:tcW w:w="1766" w:type="dxa"/>
          </w:tcPr>
          <w:p w:rsidR="00945AF5" w:rsidRDefault="00945AF5">
            <w:pPr>
              <w:jc w:val="right"/>
              <w:rPr>
                <w:rFonts w:eastAsia="Times New Roman"/>
                <w:lang w:eastAsia="it-IT"/>
              </w:rPr>
            </w:pPr>
            <w:r>
              <w:rPr>
                <w:rFonts w:eastAsia="Times New Roman"/>
                <w:lang w:eastAsia="it-IT"/>
              </w:rPr>
              <w:t>2.514,12</w:t>
            </w:r>
          </w:p>
        </w:tc>
        <w:tc>
          <w:tcPr>
            <w:tcW w:w="1700" w:type="dxa"/>
          </w:tcPr>
          <w:p w:rsidR="00945AF5" w:rsidRDefault="00945AF5" w:rsidP="00664A2D">
            <w:pPr>
              <w:jc w:val="right"/>
              <w:rPr>
                <w:rFonts w:eastAsia="Times New Roman"/>
                <w:lang w:eastAsia="it-IT"/>
              </w:rPr>
            </w:pPr>
            <w:r>
              <w:rPr>
                <w:rFonts w:eastAsia="Times New Roman"/>
                <w:lang w:eastAsia="it-IT"/>
              </w:rPr>
              <w:t>2.310.24</w:t>
            </w:r>
          </w:p>
        </w:tc>
        <w:tc>
          <w:tcPr>
            <w:tcW w:w="1314" w:type="dxa"/>
          </w:tcPr>
          <w:p w:rsidR="00945AF5" w:rsidRDefault="00945AF5" w:rsidP="00664A2D">
            <w:pPr>
              <w:jc w:val="right"/>
              <w:rPr>
                <w:rFonts w:eastAsia="Times New Roman"/>
                <w:lang w:eastAsia="it-IT"/>
              </w:rPr>
            </w:pPr>
            <w:r>
              <w:rPr>
                <w:rFonts w:eastAsia="Times New Roman"/>
                <w:lang w:eastAsia="it-IT"/>
              </w:rPr>
              <w:t>0,00</w:t>
            </w:r>
          </w:p>
        </w:tc>
      </w:tr>
      <w:tr w:rsidR="00945AF5" w:rsidTr="00945AF5">
        <w:trPr>
          <w:trHeight w:val="330"/>
          <w:jc w:val="center"/>
        </w:trPr>
        <w:tc>
          <w:tcPr>
            <w:tcW w:w="1394" w:type="dxa"/>
          </w:tcPr>
          <w:p w:rsidR="00945AF5" w:rsidRDefault="00945AF5">
            <w:pPr>
              <w:jc w:val="center"/>
              <w:rPr>
                <w:rFonts w:eastAsia="Times New Roman"/>
                <w:lang w:eastAsia="it-IT"/>
              </w:rPr>
            </w:pPr>
            <w:r>
              <w:rPr>
                <w:rFonts w:eastAsia="Times New Roman"/>
                <w:lang w:eastAsia="it-IT"/>
              </w:rPr>
              <w:t>2004</w:t>
            </w:r>
          </w:p>
        </w:tc>
        <w:tc>
          <w:tcPr>
            <w:tcW w:w="1766" w:type="dxa"/>
          </w:tcPr>
          <w:p w:rsidR="00945AF5" w:rsidRDefault="00945AF5">
            <w:pPr>
              <w:jc w:val="right"/>
              <w:rPr>
                <w:rFonts w:eastAsia="Times New Roman"/>
                <w:lang w:eastAsia="it-IT"/>
              </w:rPr>
            </w:pPr>
            <w:r>
              <w:rPr>
                <w:rFonts w:eastAsia="Times New Roman"/>
                <w:lang w:eastAsia="it-IT"/>
              </w:rPr>
              <w:t>0,09</w:t>
            </w:r>
          </w:p>
        </w:tc>
        <w:tc>
          <w:tcPr>
            <w:tcW w:w="1700" w:type="dxa"/>
          </w:tcPr>
          <w:p w:rsidR="00945AF5" w:rsidRDefault="00945AF5" w:rsidP="00664A2D">
            <w:pPr>
              <w:jc w:val="right"/>
              <w:rPr>
                <w:rFonts w:eastAsia="Times New Roman"/>
                <w:lang w:eastAsia="it-IT"/>
              </w:rPr>
            </w:pPr>
            <w:r>
              <w:rPr>
                <w:rFonts w:eastAsia="Times New Roman"/>
                <w:lang w:eastAsia="it-IT"/>
              </w:rPr>
              <w:t>0,09</w:t>
            </w:r>
          </w:p>
        </w:tc>
        <w:tc>
          <w:tcPr>
            <w:tcW w:w="1314" w:type="dxa"/>
          </w:tcPr>
          <w:p w:rsidR="00945AF5" w:rsidRDefault="00945AF5" w:rsidP="00664A2D">
            <w:pPr>
              <w:jc w:val="right"/>
              <w:rPr>
                <w:rFonts w:eastAsia="Times New Roman"/>
                <w:lang w:eastAsia="it-IT"/>
              </w:rPr>
            </w:pPr>
            <w:r>
              <w:rPr>
                <w:rFonts w:eastAsia="Times New Roman"/>
                <w:lang w:eastAsia="it-IT"/>
              </w:rPr>
              <w:t>0,00</w:t>
            </w:r>
          </w:p>
        </w:tc>
      </w:tr>
      <w:tr w:rsidR="00945AF5" w:rsidTr="00945AF5">
        <w:trPr>
          <w:trHeight w:val="330"/>
          <w:jc w:val="center"/>
        </w:trPr>
        <w:tc>
          <w:tcPr>
            <w:tcW w:w="1394" w:type="dxa"/>
          </w:tcPr>
          <w:p w:rsidR="00945AF5" w:rsidRDefault="00945AF5">
            <w:pPr>
              <w:jc w:val="center"/>
              <w:rPr>
                <w:rFonts w:eastAsia="Times New Roman"/>
                <w:lang w:eastAsia="it-IT"/>
              </w:rPr>
            </w:pPr>
            <w:r>
              <w:rPr>
                <w:rFonts w:eastAsia="Times New Roman"/>
                <w:lang w:eastAsia="it-IT"/>
              </w:rPr>
              <w:t>2005</w:t>
            </w:r>
          </w:p>
        </w:tc>
        <w:tc>
          <w:tcPr>
            <w:tcW w:w="1766" w:type="dxa"/>
          </w:tcPr>
          <w:p w:rsidR="00945AF5" w:rsidRDefault="00945AF5">
            <w:pPr>
              <w:jc w:val="right"/>
              <w:rPr>
                <w:rFonts w:eastAsia="Times New Roman"/>
                <w:lang w:eastAsia="it-IT"/>
              </w:rPr>
            </w:pPr>
            <w:r>
              <w:rPr>
                <w:rFonts w:eastAsia="Times New Roman"/>
                <w:lang w:eastAsia="it-IT"/>
              </w:rPr>
              <w:t>1.982,35</w:t>
            </w:r>
          </w:p>
        </w:tc>
        <w:tc>
          <w:tcPr>
            <w:tcW w:w="1700" w:type="dxa"/>
          </w:tcPr>
          <w:p w:rsidR="00945AF5" w:rsidRDefault="00945AF5" w:rsidP="00664A2D">
            <w:pPr>
              <w:jc w:val="right"/>
              <w:rPr>
                <w:rFonts w:eastAsia="Times New Roman"/>
                <w:lang w:eastAsia="it-IT"/>
              </w:rPr>
            </w:pPr>
            <w:r>
              <w:rPr>
                <w:rFonts w:eastAsia="Times New Roman"/>
                <w:lang w:eastAsia="it-IT"/>
              </w:rPr>
              <w:t>1.982,35</w:t>
            </w:r>
          </w:p>
        </w:tc>
        <w:tc>
          <w:tcPr>
            <w:tcW w:w="1314" w:type="dxa"/>
          </w:tcPr>
          <w:p w:rsidR="00945AF5" w:rsidRDefault="00945AF5" w:rsidP="00664A2D">
            <w:pPr>
              <w:jc w:val="right"/>
              <w:rPr>
                <w:rFonts w:eastAsia="Times New Roman"/>
                <w:lang w:eastAsia="it-IT"/>
              </w:rPr>
            </w:pPr>
            <w:r>
              <w:rPr>
                <w:rFonts w:eastAsia="Times New Roman"/>
                <w:lang w:eastAsia="it-IT"/>
              </w:rPr>
              <w:t>0,00</w:t>
            </w:r>
          </w:p>
        </w:tc>
      </w:tr>
      <w:tr w:rsidR="00945AF5" w:rsidTr="00945AF5">
        <w:trPr>
          <w:trHeight w:val="330"/>
          <w:jc w:val="center"/>
        </w:trPr>
        <w:tc>
          <w:tcPr>
            <w:tcW w:w="1394" w:type="dxa"/>
          </w:tcPr>
          <w:p w:rsidR="00945AF5" w:rsidRDefault="00945AF5">
            <w:pPr>
              <w:jc w:val="center"/>
              <w:rPr>
                <w:rFonts w:eastAsia="Times New Roman"/>
                <w:lang w:eastAsia="it-IT"/>
              </w:rPr>
            </w:pPr>
            <w:r>
              <w:rPr>
                <w:rFonts w:eastAsia="Times New Roman"/>
                <w:lang w:eastAsia="it-IT"/>
              </w:rPr>
              <w:t>2006</w:t>
            </w:r>
          </w:p>
        </w:tc>
        <w:tc>
          <w:tcPr>
            <w:tcW w:w="1766" w:type="dxa"/>
          </w:tcPr>
          <w:p w:rsidR="00945AF5" w:rsidRDefault="00945AF5">
            <w:pPr>
              <w:jc w:val="right"/>
              <w:rPr>
                <w:rFonts w:eastAsia="Times New Roman"/>
                <w:lang w:eastAsia="it-IT"/>
              </w:rPr>
            </w:pPr>
            <w:r>
              <w:rPr>
                <w:rFonts w:eastAsia="Times New Roman"/>
                <w:lang w:eastAsia="it-IT"/>
              </w:rPr>
              <w:t>498,16</w:t>
            </w:r>
          </w:p>
        </w:tc>
        <w:tc>
          <w:tcPr>
            <w:tcW w:w="1700" w:type="dxa"/>
          </w:tcPr>
          <w:p w:rsidR="00945AF5" w:rsidRDefault="00945AF5" w:rsidP="00664A2D">
            <w:pPr>
              <w:jc w:val="right"/>
              <w:rPr>
                <w:rFonts w:eastAsia="Times New Roman"/>
                <w:lang w:eastAsia="it-IT"/>
              </w:rPr>
            </w:pPr>
            <w:r>
              <w:rPr>
                <w:rFonts w:eastAsia="Times New Roman"/>
                <w:lang w:eastAsia="it-IT"/>
              </w:rPr>
              <w:t>498,16</w:t>
            </w:r>
          </w:p>
        </w:tc>
        <w:tc>
          <w:tcPr>
            <w:tcW w:w="1314" w:type="dxa"/>
          </w:tcPr>
          <w:p w:rsidR="00945AF5" w:rsidRDefault="00945AF5" w:rsidP="00664A2D">
            <w:pPr>
              <w:jc w:val="right"/>
              <w:rPr>
                <w:rFonts w:eastAsia="Times New Roman"/>
                <w:lang w:eastAsia="it-IT"/>
              </w:rPr>
            </w:pPr>
            <w:r>
              <w:rPr>
                <w:rFonts w:eastAsia="Times New Roman"/>
                <w:lang w:eastAsia="it-IT"/>
              </w:rPr>
              <w:t>0,00</w:t>
            </w:r>
          </w:p>
        </w:tc>
      </w:tr>
      <w:tr w:rsidR="00945AF5" w:rsidTr="00945AF5">
        <w:trPr>
          <w:trHeight w:val="330"/>
          <w:jc w:val="center"/>
        </w:trPr>
        <w:tc>
          <w:tcPr>
            <w:tcW w:w="1394" w:type="dxa"/>
          </w:tcPr>
          <w:p w:rsidR="00945AF5" w:rsidRDefault="00945AF5">
            <w:pPr>
              <w:jc w:val="center"/>
              <w:rPr>
                <w:rFonts w:eastAsia="Times New Roman"/>
                <w:lang w:eastAsia="it-IT"/>
              </w:rPr>
            </w:pPr>
            <w:r>
              <w:rPr>
                <w:rFonts w:eastAsia="Times New Roman"/>
                <w:lang w:eastAsia="it-IT"/>
              </w:rPr>
              <w:t>2006</w:t>
            </w:r>
          </w:p>
        </w:tc>
        <w:tc>
          <w:tcPr>
            <w:tcW w:w="1766" w:type="dxa"/>
          </w:tcPr>
          <w:p w:rsidR="00945AF5" w:rsidRDefault="00945AF5">
            <w:pPr>
              <w:jc w:val="right"/>
              <w:rPr>
                <w:rFonts w:eastAsia="Times New Roman"/>
                <w:lang w:eastAsia="it-IT"/>
              </w:rPr>
            </w:pPr>
            <w:r>
              <w:rPr>
                <w:rFonts w:eastAsia="Times New Roman"/>
                <w:lang w:eastAsia="it-IT"/>
              </w:rPr>
              <w:t>8.393,96</w:t>
            </w:r>
          </w:p>
        </w:tc>
        <w:tc>
          <w:tcPr>
            <w:tcW w:w="1700" w:type="dxa"/>
          </w:tcPr>
          <w:p w:rsidR="00945AF5" w:rsidRDefault="00945AF5" w:rsidP="00664A2D">
            <w:pPr>
              <w:jc w:val="right"/>
              <w:rPr>
                <w:rFonts w:eastAsia="Times New Roman"/>
                <w:lang w:eastAsia="it-IT"/>
              </w:rPr>
            </w:pPr>
            <w:r>
              <w:rPr>
                <w:rFonts w:eastAsia="Times New Roman"/>
                <w:lang w:eastAsia="it-IT"/>
              </w:rPr>
              <w:t>8.393,96</w:t>
            </w:r>
          </w:p>
        </w:tc>
        <w:tc>
          <w:tcPr>
            <w:tcW w:w="1314" w:type="dxa"/>
          </w:tcPr>
          <w:p w:rsidR="00945AF5" w:rsidRDefault="00945AF5" w:rsidP="00664A2D">
            <w:pPr>
              <w:jc w:val="right"/>
              <w:rPr>
                <w:rFonts w:eastAsia="Times New Roman"/>
                <w:lang w:eastAsia="it-IT"/>
              </w:rPr>
            </w:pPr>
            <w:r>
              <w:rPr>
                <w:rFonts w:eastAsia="Times New Roman"/>
                <w:lang w:eastAsia="it-IT"/>
              </w:rPr>
              <w:t>0,00</w:t>
            </w:r>
          </w:p>
        </w:tc>
      </w:tr>
      <w:tr w:rsidR="00945AF5" w:rsidTr="00945AF5">
        <w:trPr>
          <w:trHeight w:val="330"/>
          <w:jc w:val="center"/>
        </w:trPr>
        <w:tc>
          <w:tcPr>
            <w:tcW w:w="1394" w:type="dxa"/>
            <w:noWrap/>
            <w:vAlign w:val="bottom"/>
          </w:tcPr>
          <w:p w:rsidR="00945AF5" w:rsidRDefault="00945AF5">
            <w:pPr>
              <w:rPr>
                <w:rFonts w:ascii="Arial" w:hAnsi="Arial" w:cs="Arial"/>
                <w:b/>
                <w:bCs/>
                <w:sz w:val="20"/>
                <w:szCs w:val="20"/>
                <w:lang w:eastAsia="it-IT"/>
              </w:rPr>
            </w:pPr>
            <w:r>
              <w:rPr>
                <w:rFonts w:ascii="Arial" w:hAnsi="Arial" w:cs="Arial"/>
                <w:b/>
                <w:bCs/>
                <w:sz w:val="20"/>
                <w:szCs w:val="20"/>
                <w:lang w:eastAsia="it-IT"/>
              </w:rPr>
              <w:t>TOTALE</w:t>
            </w:r>
          </w:p>
        </w:tc>
        <w:tc>
          <w:tcPr>
            <w:tcW w:w="1766" w:type="dxa"/>
            <w:noWrap/>
            <w:vAlign w:val="bottom"/>
          </w:tcPr>
          <w:p w:rsidR="00945AF5" w:rsidRDefault="00945AF5">
            <w:pPr>
              <w:jc w:val="right"/>
              <w:rPr>
                <w:rFonts w:ascii="Arial" w:hAnsi="Arial" w:cs="Arial"/>
                <w:b/>
                <w:bCs/>
                <w:lang w:eastAsia="it-IT"/>
              </w:rPr>
            </w:pPr>
            <w:r>
              <w:rPr>
                <w:rFonts w:ascii="Arial" w:hAnsi="Arial" w:cs="Arial"/>
                <w:b/>
                <w:bCs/>
                <w:sz w:val="22"/>
                <w:szCs w:val="22"/>
                <w:lang w:eastAsia="it-IT"/>
              </w:rPr>
              <w:t>13.388,68</w:t>
            </w:r>
          </w:p>
        </w:tc>
        <w:tc>
          <w:tcPr>
            <w:tcW w:w="1700" w:type="dxa"/>
            <w:vAlign w:val="bottom"/>
          </w:tcPr>
          <w:p w:rsidR="00945AF5" w:rsidRDefault="00945AF5" w:rsidP="00664A2D">
            <w:pPr>
              <w:jc w:val="right"/>
              <w:rPr>
                <w:rFonts w:ascii="Arial" w:hAnsi="Arial" w:cs="Arial"/>
                <w:b/>
                <w:bCs/>
                <w:lang w:eastAsia="it-IT"/>
              </w:rPr>
            </w:pPr>
            <w:r>
              <w:rPr>
                <w:rFonts w:ascii="Arial" w:hAnsi="Arial" w:cs="Arial"/>
                <w:b/>
                <w:bCs/>
                <w:sz w:val="22"/>
                <w:szCs w:val="22"/>
                <w:lang w:eastAsia="it-IT"/>
              </w:rPr>
              <w:t>13.184,80</w:t>
            </w:r>
          </w:p>
        </w:tc>
        <w:tc>
          <w:tcPr>
            <w:tcW w:w="1314" w:type="dxa"/>
            <w:vAlign w:val="bottom"/>
          </w:tcPr>
          <w:p w:rsidR="00945AF5" w:rsidRDefault="00945AF5" w:rsidP="00664A2D">
            <w:pPr>
              <w:jc w:val="right"/>
              <w:rPr>
                <w:rFonts w:ascii="Arial" w:hAnsi="Arial" w:cs="Arial"/>
                <w:b/>
                <w:bCs/>
                <w:lang w:eastAsia="it-IT"/>
              </w:rPr>
            </w:pPr>
            <w:r>
              <w:rPr>
                <w:rFonts w:ascii="Arial" w:hAnsi="Arial" w:cs="Arial"/>
                <w:b/>
                <w:bCs/>
                <w:sz w:val="22"/>
                <w:szCs w:val="22"/>
                <w:lang w:eastAsia="it-IT"/>
              </w:rPr>
              <w:t>0,00</w:t>
            </w:r>
          </w:p>
        </w:tc>
      </w:tr>
    </w:tbl>
    <w:p w:rsidR="00FF3CBA" w:rsidRDefault="00FF3CBA">
      <w:pPr>
        <w:ind w:left="1125"/>
        <w:jc w:val="both"/>
        <w:rPr>
          <w:highlight w:val="yellow"/>
        </w:rPr>
      </w:pPr>
    </w:p>
    <w:p w:rsidR="00FF3CBA" w:rsidRDefault="00FF3CBA">
      <w:pPr>
        <w:ind w:left="1125"/>
        <w:jc w:val="both"/>
      </w:pPr>
      <w:r>
        <w:rPr>
          <w:rFonts w:eastAsia="Times New Roman"/>
          <w:lang w:eastAsia="it-IT"/>
        </w:rPr>
        <w:t>(</w:t>
      </w:r>
      <w:r w:rsidR="003006B0" w:rsidRPr="008A7AF8">
        <w:rPr>
          <w:rFonts w:eastAsia="Times New Roman"/>
          <w:b/>
          <w:lang w:eastAsia="it-IT"/>
        </w:rPr>
        <w:t>Allegato E</w:t>
      </w:r>
      <w:r w:rsidR="003006B0">
        <w:rPr>
          <w:rFonts w:eastAsia="Times New Roman"/>
          <w:lang w:eastAsia="it-IT"/>
        </w:rPr>
        <w:t xml:space="preserve"> - </w:t>
      </w:r>
      <w:r>
        <w:rPr>
          <w:rFonts w:eastAsia="Times New Roman"/>
          <w:lang w:eastAsia="it-IT"/>
        </w:rPr>
        <w:t>schede di verifica dei residui)</w:t>
      </w:r>
    </w:p>
    <w:p w:rsidR="00FF3CBA" w:rsidRDefault="00FF3CBA">
      <w:pPr>
        <w:ind w:left="1125"/>
        <w:jc w:val="both"/>
      </w:pPr>
    </w:p>
    <w:p w:rsidR="00FF3CBA" w:rsidRDefault="00FF3CBA">
      <w:pPr>
        <w:ind w:left="1125"/>
        <w:jc w:val="both"/>
      </w:pPr>
      <w:r>
        <w:t xml:space="preserve">Per quanto attiene i residui attivi si rileva che in sede di verifica dei residui a consuntivo 2012, sono stati eliminati residui attivi per insussistenza ammontanti ad </w:t>
      </w:r>
      <w:r w:rsidRPr="00B01210">
        <w:t>€ 42.956,56.</w:t>
      </w:r>
      <w:r>
        <w:t xml:space="preserve"> Inoltre, dopo verifica straordinaria effettuata con la citata determinazione del </w:t>
      </w:r>
      <w:r>
        <w:rPr>
          <w:rFonts w:eastAsia="Times New Roman"/>
          <w:bCs/>
          <w:lang w:eastAsia="it-IT"/>
        </w:rPr>
        <w:t>28</w:t>
      </w:r>
      <w:r>
        <w:t>.01.2014, sono stati eliminati i seguenti RESIDUI ATTIVI:</w:t>
      </w:r>
    </w:p>
    <w:p w:rsidR="00FF3CBA" w:rsidRDefault="00FF3CBA">
      <w:pPr>
        <w:ind w:left="1125"/>
        <w:jc w:val="both"/>
      </w:pPr>
    </w:p>
    <w:p w:rsidR="00FF3CBA" w:rsidRDefault="00FF3CBA">
      <w:pPr>
        <w:ind w:left="1125"/>
        <w:jc w:val="both"/>
      </w:pPr>
    </w:p>
    <w:tbl>
      <w:tblPr>
        <w:tblW w:w="6560"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4"/>
        <w:gridCol w:w="1766"/>
        <w:gridCol w:w="1700"/>
        <w:gridCol w:w="1700"/>
      </w:tblGrid>
      <w:tr w:rsidR="00945AF5" w:rsidRPr="006F744A" w:rsidTr="00945AF5">
        <w:trPr>
          <w:trHeight w:val="2280"/>
          <w:jc w:val="center"/>
        </w:trPr>
        <w:tc>
          <w:tcPr>
            <w:tcW w:w="1394" w:type="dxa"/>
            <w:vAlign w:val="center"/>
          </w:tcPr>
          <w:p w:rsidR="00945AF5" w:rsidRPr="006F744A" w:rsidRDefault="00945AF5" w:rsidP="006F744A">
            <w:pPr>
              <w:jc w:val="center"/>
              <w:rPr>
                <w:b/>
                <w:bCs/>
              </w:rPr>
            </w:pPr>
            <w:r w:rsidRPr="006F744A">
              <w:rPr>
                <w:b/>
                <w:bCs/>
              </w:rPr>
              <w:t>Esercizio di provenienza</w:t>
            </w:r>
          </w:p>
        </w:tc>
        <w:tc>
          <w:tcPr>
            <w:tcW w:w="1766" w:type="dxa"/>
            <w:vAlign w:val="center"/>
          </w:tcPr>
          <w:p w:rsidR="00945AF5" w:rsidRPr="006F744A" w:rsidRDefault="00945AF5" w:rsidP="006F744A">
            <w:pPr>
              <w:jc w:val="center"/>
              <w:rPr>
                <w:b/>
                <w:bCs/>
              </w:rPr>
            </w:pPr>
            <w:r w:rsidRPr="006F744A">
              <w:rPr>
                <w:b/>
                <w:bCs/>
              </w:rPr>
              <w:t>Riaccertamento residui attivi al 31/12/2011</w:t>
            </w:r>
          </w:p>
          <w:p w:rsidR="00945AF5" w:rsidRPr="006F744A" w:rsidRDefault="00945AF5" w:rsidP="006F744A">
            <w:pPr>
              <w:jc w:val="center"/>
              <w:rPr>
                <w:b/>
                <w:bCs/>
              </w:rPr>
            </w:pPr>
            <w:r w:rsidRPr="006F744A">
              <w:rPr>
                <w:b/>
                <w:bCs/>
              </w:rPr>
              <w:t>Servizi c/terzi</w:t>
            </w:r>
          </w:p>
        </w:tc>
        <w:tc>
          <w:tcPr>
            <w:tcW w:w="1700" w:type="dxa"/>
            <w:vAlign w:val="center"/>
          </w:tcPr>
          <w:p w:rsidR="00945AF5" w:rsidRPr="006F744A" w:rsidRDefault="00945AF5" w:rsidP="006F744A">
            <w:pPr>
              <w:jc w:val="center"/>
              <w:rPr>
                <w:b/>
                <w:bCs/>
              </w:rPr>
            </w:pPr>
            <w:r w:rsidRPr="006F744A">
              <w:rPr>
                <w:b/>
                <w:bCs/>
              </w:rPr>
              <w:t>Importo cancellato in sede della presente verifica straordinaria</w:t>
            </w:r>
          </w:p>
        </w:tc>
        <w:tc>
          <w:tcPr>
            <w:tcW w:w="1700" w:type="dxa"/>
          </w:tcPr>
          <w:p w:rsidR="00945AF5" w:rsidRPr="006F744A" w:rsidRDefault="00945AF5" w:rsidP="006F744A">
            <w:pPr>
              <w:jc w:val="center"/>
              <w:rPr>
                <w:b/>
                <w:bCs/>
              </w:rPr>
            </w:pPr>
          </w:p>
          <w:p w:rsidR="00945AF5" w:rsidRPr="006F744A" w:rsidRDefault="00945AF5" w:rsidP="006F744A">
            <w:pPr>
              <w:jc w:val="center"/>
              <w:rPr>
                <w:b/>
                <w:bCs/>
              </w:rPr>
            </w:pPr>
            <w:r w:rsidRPr="006F744A">
              <w:rPr>
                <w:b/>
                <w:bCs/>
              </w:rPr>
              <w:t>Importo da riaccertare a Rendiconto 2013</w:t>
            </w:r>
          </w:p>
        </w:tc>
      </w:tr>
      <w:tr w:rsidR="00945AF5" w:rsidRPr="006F744A" w:rsidTr="00945AF5">
        <w:trPr>
          <w:trHeight w:val="330"/>
          <w:jc w:val="center"/>
        </w:trPr>
        <w:tc>
          <w:tcPr>
            <w:tcW w:w="1394" w:type="dxa"/>
          </w:tcPr>
          <w:p w:rsidR="00945AF5" w:rsidRPr="003620AD" w:rsidRDefault="00945AF5" w:rsidP="006F744A">
            <w:pPr>
              <w:jc w:val="center"/>
            </w:pPr>
            <w:r w:rsidRPr="003620AD">
              <w:t>2003</w:t>
            </w:r>
          </w:p>
        </w:tc>
        <w:tc>
          <w:tcPr>
            <w:tcW w:w="1766" w:type="dxa"/>
          </w:tcPr>
          <w:p w:rsidR="00945AF5" w:rsidRPr="003620AD" w:rsidRDefault="00945AF5" w:rsidP="006F744A">
            <w:pPr>
              <w:jc w:val="right"/>
            </w:pPr>
            <w:r>
              <w:t>2.548,10</w:t>
            </w:r>
          </w:p>
        </w:tc>
        <w:tc>
          <w:tcPr>
            <w:tcW w:w="1700" w:type="dxa"/>
          </w:tcPr>
          <w:p w:rsidR="00945AF5" w:rsidRPr="003620AD" w:rsidRDefault="00945AF5" w:rsidP="006F744A">
            <w:pPr>
              <w:jc w:val="right"/>
            </w:pPr>
            <w:r w:rsidRPr="003620AD">
              <w:t>2.344,22</w:t>
            </w:r>
          </w:p>
        </w:tc>
        <w:tc>
          <w:tcPr>
            <w:tcW w:w="1700" w:type="dxa"/>
          </w:tcPr>
          <w:p w:rsidR="00945AF5" w:rsidRPr="003620AD" w:rsidRDefault="00945AF5" w:rsidP="006F744A">
            <w:pPr>
              <w:jc w:val="right"/>
            </w:pPr>
            <w:r>
              <w:t>0,00</w:t>
            </w:r>
          </w:p>
        </w:tc>
      </w:tr>
      <w:tr w:rsidR="00945AF5" w:rsidRPr="006F744A" w:rsidTr="00945AF5">
        <w:trPr>
          <w:trHeight w:val="330"/>
          <w:jc w:val="center"/>
        </w:trPr>
        <w:tc>
          <w:tcPr>
            <w:tcW w:w="1394" w:type="dxa"/>
          </w:tcPr>
          <w:p w:rsidR="00945AF5" w:rsidRPr="003620AD" w:rsidRDefault="00945AF5" w:rsidP="006F744A">
            <w:pPr>
              <w:jc w:val="center"/>
            </w:pPr>
            <w:r w:rsidRPr="003620AD">
              <w:t>2006</w:t>
            </w:r>
          </w:p>
        </w:tc>
        <w:tc>
          <w:tcPr>
            <w:tcW w:w="1766" w:type="dxa"/>
          </w:tcPr>
          <w:p w:rsidR="00945AF5" w:rsidRPr="003620AD" w:rsidRDefault="00945AF5" w:rsidP="006F744A">
            <w:pPr>
              <w:jc w:val="right"/>
            </w:pPr>
            <w:r w:rsidRPr="003620AD">
              <w:t>8.393,96</w:t>
            </w:r>
          </w:p>
        </w:tc>
        <w:tc>
          <w:tcPr>
            <w:tcW w:w="1700" w:type="dxa"/>
          </w:tcPr>
          <w:p w:rsidR="00945AF5" w:rsidRPr="003620AD" w:rsidRDefault="00945AF5" w:rsidP="006F744A">
            <w:pPr>
              <w:jc w:val="right"/>
            </w:pPr>
            <w:r w:rsidRPr="003620AD">
              <w:t>8.393,96</w:t>
            </w:r>
          </w:p>
        </w:tc>
        <w:tc>
          <w:tcPr>
            <w:tcW w:w="1700" w:type="dxa"/>
          </w:tcPr>
          <w:p w:rsidR="00945AF5" w:rsidRPr="003620AD" w:rsidRDefault="00945AF5" w:rsidP="006F744A">
            <w:pPr>
              <w:jc w:val="right"/>
            </w:pPr>
            <w:r>
              <w:t>0,00</w:t>
            </w:r>
          </w:p>
        </w:tc>
      </w:tr>
      <w:tr w:rsidR="00945AF5" w:rsidRPr="006F744A" w:rsidTr="00945AF5">
        <w:trPr>
          <w:trHeight w:val="330"/>
          <w:jc w:val="center"/>
        </w:trPr>
        <w:tc>
          <w:tcPr>
            <w:tcW w:w="1394" w:type="dxa"/>
          </w:tcPr>
          <w:p w:rsidR="00945AF5" w:rsidRPr="006F744A" w:rsidRDefault="00945AF5" w:rsidP="006F744A">
            <w:pPr>
              <w:jc w:val="center"/>
              <w:rPr>
                <w:b/>
              </w:rPr>
            </w:pPr>
            <w:r w:rsidRPr="006F744A">
              <w:rPr>
                <w:b/>
              </w:rPr>
              <w:t>TOTALE</w:t>
            </w:r>
          </w:p>
        </w:tc>
        <w:tc>
          <w:tcPr>
            <w:tcW w:w="1766" w:type="dxa"/>
          </w:tcPr>
          <w:p w:rsidR="00945AF5" w:rsidRPr="006F744A" w:rsidRDefault="00945AF5" w:rsidP="006F744A">
            <w:pPr>
              <w:jc w:val="right"/>
              <w:rPr>
                <w:b/>
                <w:bCs/>
              </w:rPr>
            </w:pPr>
            <w:r w:rsidRPr="006F744A">
              <w:rPr>
                <w:b/>
                <w:bCs/>
              </w:rPr>
              <w:t>10.942,06</w:t>
            </w:r>
          </w:p>
        </w:tc>
        <w:tc>
          <w:tcPr>
            <w:tcW w:w="1700" w:type="dxa"/>
          </w:tcPr>
          <w:p w:rsidR="00945AF5" w:rsidRPr="006F744A" w:rsidRDefault="00945AF5" w:rsidP="006F744A">
            <w:pPr>
              <w:jc w:val="right"/>
              <w:rPr>
                <w:b/>
                <w:bCs/>
              </w:rPr>
            </w:pPr>
            <w:r w:rsidRPr="006F744A">
              <w:rPr>
                <w:b/>
                <w:bCs/>
              </w:rPr>
              <w:t>10.738,18</w:t>
            </w:r>
          </w:p>
        </w:tc>
        <w:tc>
          <w:tcPr>
            <w:tcW w:w="1700" w:type="dxa"/>
          </w:tcPr>
          <w:p w:rsidR="00945AF5" w:rsidRPr="006F744A" w:rsidRDefault="00945AF5" w:rsidP="006F744A">
            <w:pPr>
              <w:jc w:val="right"/>
              <w:rPr>
                <w:b/>
                <w:bCs/>
              </w:rPr>
            </w:pPr>
            <w:r w:rsidRPr="006F744A">
              <w:rPr>
                <w:b/>
                <w:bCs/>
              </w:rPr>
              <w:t>0,00</w:t>
            </w:r>
          </w:p>
        </w:tc>
      </w:tr>
    </w:tbl>
    <w:p w:rsidR="006F744A" w:rsidRDefault="006F744A">
      <w:pPr>
        <w:ind w:left="1125"/>
        <w:jc w:val="both"/>
      </w:pPr>
    </w:p>
    <w:p w:rsidR="006F744A" w:rsidRDefault="006F744A">
      <w:pPr>
        <w:ind w:left="1125"/>
        <w:jc w:val="both"/>
      </w:pPr>
    </w:p>
    <w:p w:rsidR="006F744A" w:rsidRDefault="006F744A">
      <w:pPr>
        <w:ind w:left="1125"/>
        <w:jc w:val="both"/>
      </w:pPr>
    </w:p>
    <w:p w:rsidR="006F744A" w:rsidRDefault="006F744A">
      <w:pPr>
        <w:ind w:left="1125"/>
        <w:jc w:val="both"/>
      </w:pPr>
    </w:p>
    <w:p w:rsidR="00FF3CBA" w:rsidRDefault="00FF3CBA">
      <w:pPr>
        <w:ind w:left="1200"/>
        <w:jc w:val="both"/>
      </w:pPr>
      <w:r>
        <w:rPr>
          <w:rFonts w:eastAsia="Times New Roman"/>
          <w:lang w:eastAsia="it-IT"/>
        </w:rPr>
        <w:t>(</w:t>
      </w:r>
      <w:r w:rsidR="008A7AF8" w:rsidRPr="008A7AF8">
        <w:rPr>
          <w:rFonts w:eastAsia="Times New Roman"/>
          <w:b/>
          <w:lang w:eastAsia="it-IT"/>
        </w:rPr>
        <w:t>Allegato F</w:t>
      </w:r>
      <w:r>
        <w:rPr>
          <w:rFonts w:eastAsia="Times New Roman"/>
          <w:lang w:eastAsia="it-IT"/>
        </w:rPr>
        <w:t xml:space="preserve"> schede di verifica dei residui)</w:t>
      </w:r>
    </w:p>
    <w:p w:rsidR="00FF3CBA" w:rsidRDefault="00FF3CBA">
      <w:pPr>
        <w:ind w:left="1125"/>
        <w:jc w:val="both"/>
      </w:pPr>
      <w:r>
        <w:t>In tal modo i residui passivi della tipologia di cui trattasi (</w:t>
      </w:r>
      <w:r>
        <w:rPr>
          <w:rFonts w:eastAsia="Times New Roman"/>
          <w:lang w:eastAsia="it-IT"/>
        </w:rPr>
        <w:t>servizi c/terzi)</w:t>
      </w:r>
      <w:r>
        <w:rPr>
          <w:rFonts w:eastAsia="Times New Roman"/>
          <w:b/>
          <w:lang w:eastAsia="it-IT"/>
        </w:rPr>
        <w:t xml:space="preserve"> </w:t>
      </w:r>
      <w:r>
        <w:t xml:space="preserve">ammonteranno ad </w:t>
      </w:r>
      <w:r w:rsidRPr="00B01210">
        <w:t>€ 950,49 e quelli attivi ad € 1.010,73.</w:t>
      </w:r>
    </w:p>
    <w:p w:rsidR="00FF3CBA" w:rsidRDefault="00FF3CBA">
      <w:pPr>
        <w:ind w:left="1125"/>
        <w:jc w:val="both"/>
      </w:pPr>
      <w:r>
        <w:t>Pertanto la differenza è stata notevolmente ridotta ammontando ad € 60,24 rispetto alla differenza segnalata da codesta Corte che ammontava ad € 39.700,31</w:t>
      </w:r>
    </w:p>
    <w:p w:rsidR="00FF3CBA" w:rsidRDefault="00FF3CBA">
      <w:pPr>
        <w:ind w:left="1125"/>
        <w:jc w:val="both"/>
      </w:pPr>
    </w:p>
    <w:p w:rsidR="00FF3CBA" w:rsidRDefault="00FF3CBA">
      <w:pPr>
        <w:numPr>
          <w:ilvl w:val="0"/>
          <w:numId w:val="1"/>
        </w:numPr>
        <w:rPr>
          <w:rFonts w:eastAsia="Times New Roman"/>
          <w:lang w:eastAsia="it-IT"/>
        </w:rPr>
      </w:pPr>
      <w:r>
        <w:rPr>
          <w:rFonts w:eastAsia="Times New Roman"/>
          <w:b/>
          <w:lang w:eastAsia="it-IT"/>
        </w:rPr>
        <w:t>Punto 4- Bassa percentuale di riscossione delle entrate da sanzioni per violazione del codice della strada</w:t>
      </w:r>
    </w:p>
    <w:p w:rsidR="00FF3CBA" w:rsidRDefault="00FF3CBA">
      <w:pPr>
        <w:ind w:left="1125"/>
        <w:jc w:val="both"/>
      </w:pPr>
      <w:r>
        <w:t xml:space="preserve">Come già detto nelle memorie precedenti (ottobre 2013), i proventi per contravvenzioni al codice della strada accertati nel 2011 sono stati </w:t>
      </w:r>
      <w:r>
        <w:rPr>
          <w:u w:val="single"/>
        </w:rPr>
        <w:t>interamente incassati</w:t>
      </w:r>
      <w:r>
        <w:t xml:space="preserve"> per complessivi €35.000,00. In particolare € 30.178,46 sono stati incassati nello stesso esercizio ed € 4.821,54 nell’esercizio 2012.</w:t>
      </w:r>
    </w:p>
    <w:p w:rsidR="00FF3CBA" w:rsidRDefault="00FF3CBA">
      <w:pPr>
        <w:ind w:left="1125"/>
        <w:jc w:val="both"/>
      </w:pPr>
      <w:r>
        <w:t>(</w:t>
      </w:r>
      <w:r w:rsidR="008A7AF8" w:rsidRPr="008A7AF8">
        <w:rPr>
          <w:b/>
        </w:rPr>
        <w:t>Allegato G</w:t>
      </w:r>
      <w:r>
        <w:t xml:space="preserve"> stampa cap 16700)</w:t>
      </w:r>
    </w:p>
    <w:p w:rsidR="00FF3CBA" w:rsidRDefault="00FF3CBA">
      <w:pPr>
        <w:ind w:left="1125"/>
        <w:jc w:val="both"/>
      </w:pPr>
    </w:p>
    <w:p w:rsidR="00FF3CBA" w:rsidRDefault="00FF3CBA">
      <w:pPr>
        <w:numPr>
          <w:ilvl w:val="0"/>
          <w:numId w:val="1"/>
        </w:numPr>
        <w:rPr>
          <w:rFonts w:eastAsia="Times New Roman"/>
          <w:lang w:eastAsia="it-IT"/>
        </w:rPr>
      </w:pPr>
      <w:r>
        <w:rPr>
          <w:rFonts w:eastAsia="Times New Roman"/>
          <w:b/>
          <w:lang w:eastAsia="it-IT"/>
        </w:rPr>
        <w:t>Punto 5- Ricorso all’anticipazione di cassa</w:t>
      </w:r>
      <w:r>
        <w:rPr>
          <w:rFonts w:eastAsia="Times New Roman"/>
          <w:lang w:eastAsia="it-IT"/>
        </w:rPr>
        <w:t xml:space="preserve">: </w:t>
      </w:r>
    </w:p>
    <w:p w:rsidR="00FF3CBA" w:rsidRDefault="00FF3CBA">
      <w:pPr>
        <w:ind w:left="1125"/>
        <w:jc w:val="both"/>
      </w:pPr>
    </w:p>
    <w:p w:rsidR="00FF3CBA" w:rsidRDefault="00FF3CBA">
      <w:pPr>
        <w:ind w:left="1125"/>
        <w:jc w:val="both"/>
      </w:pPr>
      <w:r>
        <w:t xml:space="preserve">Stante la particolare situazione finanziaria cui versava l’Ente ad inizio mandato, l’Amministrazione ha attivato, fin da subito, una serie di misure straordinarie ed urgenti volte ad innescare un circolo virtuoso che consentisse, nel breve periodo, un risanamento generale dei conti. </w:t>
      </w:r>
    </w:p>
    <w:p w:rsidR="00FF3CBA" w:rsidRDefault="00FF3CBA">
      <w:pPr>
        <w:ind w:left="1125"/>
        <w:jc w:val="both"/>
      </w:pPr>
      <w:r>
        <w:t>In particolare si sono attivate le seguenti misure:</w:t>
      </w:r>
    </w:p>
    <w:p w:rsidR="00FF3CBA" w:rsidRDefault="00FF3CBA">
      <w:pPr>
        <w:numPr>
          <w:ilvl w:val="0"/>
          <w:numId w:val="13"/>
        </w:numPr>
        <w:jc w:val="both"/>
      </w:pPr>
      <w:r>
        <w:t>Verifica straordinaria dei residui attivi e passivi nell’esercizio 2012 e 2013;</w:t>
      </w:r>
    </w:p>
    <w:p w:rsidR="00FF3CBA" w:rsidRDefault="00FF3CBA">
      <w:pPr>
        <w:numPr>
          <w:ilvl w:val="0"/>
          <w:numId w:val="13"/>
        </w:numPr>
        <w:jc w:val="both"/>
      </w:pPr>
      <w:r>
        <w:t>Mancata applicazione dell’</w:t>
      </w:r>
      <w:r w:rsidR="00945AF5">
        <w:t xml:space="preserve">intero </w:t>
      </w:r>
      <w:r>
        <w:t>avanzo di amministrazione</w:t>
      </w:r>
      <w:r w:rsidR="00C84245">
        <w:t xml:space="preserve"> </w:t>
      </w:r>
      <w:r w:rsidR="00945AF5">
        <w:t xml:space="preserve">per gli esercizi 2011 e </w:t>
      </w:r>
      <w:r>
        <w:t>2012;</w:t>
      </w:r>
    </w:p>
    <w:p w:rsidR="00FF3CBA" w:rsidRDefault="00FF3CBA">
      <w:pPr>
        <w:numPr>
          <w:ilvl w:val="0"/>
          <w:numId w:val="13"/>
        </w:numPr>
        <w:jc w:val="both"/>
      </w:pPr>
      <w:r>
        <w:t>Drastica attenzione alla riscossione dei tributi comunali, che ha consentito di aumentare le giacenze di cassa, armonizzandosi con una oculata gestione della spesa. In particolare, come già segnalato nella nostra nota del mese di ottobre 2013 si è dato corso alla redazione dei ruoli del canone idrico relativi i agli esercizi 2008/2009/2010/2011;</w:t>
      </w:r>
    </w:p>
    <w:p w:rsidR="00FF3CBA" w:rsidRDefault="00FF3CBA">
      <w:pPr>
        <w:numPr>
          <w:ilvl w:val="0"/>
          <w:numId w:val="13"/>
        </w:numPr>
        <w:jc w:val="both"/>
      </w:pPr>
      <w:r>
        <w:t xml:space="preserve">Riscossione del canone TIA relativi agli esercizi 2010/2011/2012 e quota parte TARES 2013; </w:t>
      </w:r>
    </w:p>
    <w:p w:rsidR="00FF3CBA" w:rsidRDefault="00FF3CBA">
      <w:pPr>
        <w:numPr>
          <w:ilvl w:val="0"/>
          <w:numId w:val="13"/>
        </w:numPr>
        <w:jc w:val="both"/>
      </w:pPr>
      <w:r>
        <w:t xml:space="preserve">Avvio riscossione coatta canone idrico relativo all’esercizio 2008 e ICI 2008 </w:t>
      </w:r>
    </w:p>
    <w:p w:rsidR="00FF3CBA" w:rsidRDefault="00FF3CBA">
      <w:pPr>
        <w:ind w:left="1485"/>
        <w:jc w:val="both"/>
      </w:pPr>
    </w:p>
    <w:p w:rsidR="00FF3CBA" w:rsidRDefault="00FF3CBA">
      <w:pPr>
        <w:ind w:left="1200"/>
        <w:jc w:val="both"/>
      </w:pPr>
      <w:r w:rsidRPr="00C6676D">
        <w:t>Le predette misure hanno cons</w:t>
      </w:r>
      <w:r w:rsidR="00F35035">
        <w:t>entito che a</w:t>
      </w:r>
      <w:r w:rsidR="00945AF5">
        <w:t>d inizio</w:t>
      </w:r>
      <w:r w:rsidRPr="00C6676D">
        <w:t xml:space="preserve"> esercizio 201</w:t>
      </w:r>
      <w:r w:rsidR="00945AF5">
        <w:t>4</w:t>
      </w:r>
      <w:r w:rsidRPr="00C6676D">
        <w:t xml:space="preserve"> si è completamente estinta l’anticipazione di cassa</w:t>
      </w:r>
      <w:r w:rsidR="00945AF5">
        <w:t xml:space="preserve">. Attualmente </w:t>
      </w:r>
      <w:r w:rsidRPr="00C6676D">
        <w:t xml:space="preserve">il saldo finanziario risulta pari ad € </w:t>
      </w:r>
      <w:r w:rsidR="00F54AC2">
        <w:t>639.589,34</w:t>
      </w:r>
      <w:r w:rsidRPr="00C6676D">
        <w:t xml:space="preserve">, come da stampa effettuata il </w:t>
      </w:r>
      <w:r w:rsidR="00C6676D" w:rsidRPr="00C6676D">
        <w:t>0</w:t>
      </w:r>
      <w:r w:rsidR="00F54AC2">
        <w:t>5</w:t>
      </w:r>
      <w:r w:rsidR="00C6676D" w:rsidRPr="00C6676D">
        <w:t>/02/2014</w:t>
      </w:r>
      <w:r w:rsidRPr="00C6676D">
        <w:t xml:space="preserve"> dal Sistema TLQ web della Tesoreria comunale</w:t>
      </w:r>
      <w:r w:rsidR="008A7AF8">
        <w:t xml:space="preserve">. </w:t>
      </w:r>
      <w:r w:rsidRPr="00C6676D">
        <w:t xml:space="preserve"> </w:t>
      </w:r>
      <w:r w:rsidR="00B01210" w:rsidRPr="00B01210">
        <w:rPr>
          <w:b/>
        </w:rPr>
        <w:t>(</w:t>
      </w:r>
      <w:r w:rsidR="008A7AF8" w:rsidRPr="008A7AF8">
        <w:rPr>
          <w:b/>
        </w:rPr>
        <w:t>Allegato I</w:t>
      </w:r>
      <w:r w:rsidR="00B01210">
        <w:rPr>
          <w:b/>
        </w:rPr>
        <w:t xml:space="preserve"> )</w:t>
      </w:r>
      <w:r w:rsidR="008A7AF8">
        <w:rPr>
          <w:b/>
        </w:rPr>
        <w:t>.-</w:t>
      </w:r>
    </w:p>
    <w:p w:rsidR="00FF3CBA" w:rsidRDefault="00FF3CBA">
      <w:pPr>
        <w:ind w:left="1485"/>
        <w:jc w:val="both"/>
      </w:pPr>
    </w:p>
    <w:p w:rsidR="00FF3CBA" w:rsidRDefault="00FF3CBA">
      <w:pPr>
        <w:ind w:left="1125"/>
        <w:jc w:val="both"/>
      </w:pPr>
      <w:r>
        <w:t>Di seguito si riporta il trend della capacità di accertamento e riscossione delle entrate tributarie a partire dal 2011 che evidenziano il percorso virtuoso attivato dall’attuale Amministrazione</w:t>
      </w:r>
      <w:r w:rsidR="00B01210">
        <w:t>.</w:t>
      </w:r>
    </w:p>
    <w:p w:rsidR="00B01210" w:rsidRDefault="00B01210">
      <w:pPr>
        <w:ind w:left="1125"/>
        <w:jc w:val="both"/>
      </w:pPr>
    </w:p>
    <w:p w:rsidR="00B01210" w:rsidRDefault="00B01210">
      <w:pPr>
        <w:ind w:left="1125"/>
        <w:jc w:val="both"/>
      </w:pPr>
    </w:p>
    <w:tbl>
      <w:tblPr>
        <w:tblpPr w:leftFromText="141" w:rightFromText="141" w:vertAnchor="text" w:horzAnchor="page" w:tblpX="2265" w:tblpY="20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
        <w:gridCol w:w="1452"/>
        <w:gridCol w:w="1550"/>
        <w:gridCol w:w="1374"/>
        <w:gridCol w:w="1553"/>
        <w:gridCol w:w="1440"/>
        <w:gridCol w:w="1560"/>
      </w:tblGrid>
      <w:tr w:rsidR="00FF3CBA">
        <w:trPr>
          <w:trHeight w:val="446"/>
        </w:trPr>
        <w:tc>
          <w:tcPr>
            <w:tcW w:w="3433" w:type="dxa"/>
            <w:gridSpan w:val="3"/>
            <w:vAlign w:val="center"/>
          </w:tcPr>
          <w:p w:rsidR="00FF3CBA" w:rsidRDefault="00FF3CBA">
            <w:pPr>
              <w:jc w:val="center"/>
              <w:rPr>
                <w:rFonts w:eastAsia="Times New Roman"/>
                <w:sz w:val="20"/>
                <w:szCs w:val="20"/>
                <w:lang w:eastAsia="it-IT"/>
              </w:rPr>
            </w:pPr>
            <w:r>
              <w:rPr>
                <w:rFonts w:eastAsia="Times New Roman"/>
                <w:sz w:val="20"/>
                <w:szCs w:val="20"/>
                <w:lang w:eastAsia="it-IT"/>
              </w:rPr>
              <w:lastRenderedPageBreak/>
              <w:t>TITOLO I ENTRATE TRIBUTARIE ESERCIZIO 2011</w:t>
            </w:r>
          </w:p>
        </w:tc>
        <w:tc>
          <w:tcPr>
            <w:tcW w:w="2927" w:type="dxa"/>
            <w:gridSpan w:val="2"/>
            <w:vAlign w:val="center"/>
          </w:tcPr>
          <w:p w:rsidR="00FF3CBA" w:rsidRDefault="00FF3CBA">
            <w:pPr>
              <w:jc w:val="center"/>
              <w:rPr>
                <w:rFonts w:eastAsia="Times New Roman"/>
                <w:sz w:val="20"/>
                <w:szCs w:val="20"/>
                <w:lang w:eastAsia="it-IT"/>
              </w:rPr>
            </w:pPr>
            <w:r>
              <w:rPr>
                <w:rFonts w:eastAsia="Times New Roman"/>
                <w:sz w:val="20"/>
                <w:szCs w:val="20"/>
                <w:lang w:eastAsia="it-IT"/>
              </w:rPr>
              <w:t>TITOLO I ENTRATE TRIBUTARIE ESERCIZIO 2012</w:t>
            </w:r>
          </w:p>
        </w:tc>
        <w:tc>
          <w:tcPr>
            <w:tcW w:w="3000" w:type="dxa"/>
            <w:gridSpan w:val="2"/>
            <w:vAlign w:val="center"/>
          </w:tcPr>
          <w:p w:rsidR="00FF3CBA" w:rsidRDefault="00FF3CBA">
            <w:pPr>
              <w:jc w:val="center"/>
              <w:rPr>
                <w:rFonts w:eastAsia="Times New Roman"/>
                <w:sz w:val="20"/>
                <w:szCs w:val="20"/>
                <w:lang w:eastAsia="it-IT"/>
              </w:rPr>
            </w:pPr>
            <w:r>
              <w:rPr>
                <w:rFonts w:eastAsia="Times New Roman"/>
                <w:sz w:val="20"/>
                <w:szCs w:val="20"/>
                <w:lang w:eastAsia="it-IT"/>
              </w:rPr>
              <w:t>TITOLO I ENTRATE TRIBUTARIE ESERCIZIO 2013 IN FASE DI CHIUSURA</w:t>
            </w:r>
          </w:p>
        </w:tc>
      </w:tr>
      <w:tr w:rsidR="00FF3CBA">
        <w:trPr>
          <w:trHeight w:val="255"/>
        </w:trPr>
        <w:tc>
          <w:tcPr>
            <w:tcW w:w="431" w:type="dxa"/>
            <w:noWrap/>
            <w:vAlign w:val="bottom"/>
          </w:tcPr>
          <w:p w:rsidR="00FF3CBA" w:rsidRDefault="00FF3CBA">
            <w:pPr>
              <w:rPr>
                <w:rFonts w:eastAsia="Times New Roman"/>
                <w:sz w:val="18"/>
                <w:szCs w:val="18"/>
                <w:lang w:eastAsia="it-IT"/>
              </w:rPr>
            </w:pPr>
          </w:p>
        </w:tc>
        <w:tc>
          <w:tcPr>
            <w:tcW w:w="1452" w:type="dxa"/>
            <w:noWrap/>
            <w:vAlign w:val="bottom"/>
          </w:tcPr>
          <w:p w:rsidR="00FF3CBA" w:rsidRDefault="00FF3CBA">
            <w:pPr>
              <w:rPr>
                <w:rFonts w:eastAsia="Times New Roman"/>
                <w:sz w:val="18"/>
                <w:szCs w:val="18"/>
                <w:lang w:eastAsia="it-IT"/>
              </w:rPr>
            </w:pPr>
            <w:r>
              <w:rPr>
                <w:rFonts w:eastAsia="Times New Roman"/>
                <w:sz w:val="18"/>
                <w:szCs w:val="18"/>
                <w:lang w:eastAsia="it-IT"/>
              </w:rPr>
              <w:t>RISCOSSIONI</w:t>
            </w:r>
          </w:p>
        </w:tc>
        <w:tc>
          <w:tcPr>
            <w:tcW w:w="1550" w:type="dxa"/>
            <w:vAlign w:val="bottom"/>
          </w:tcPr>
          <w:p w:rsidR="00FF3CBA" w:rsidRDefault="00FF3CBA">
            <w:pPr>
              <w:rPr>
                <w:rFonts w:eastAsia="Times New Roman"/>
                <w:sz w:val="18"/>
                <w:szCs w:val="18"/>
                <w:lang w:eastAsia="it-IT"/>
              </w:rPr>
            </w:pPr>
            <w:r>
              <w:rPr>
                <w:rFonts w:eastAsia="Times New Roman"/>
                <w:sz w:val="18"/>
                <w:szCs w:val="18"/>
                <w:lang w:eastAsia="it-IT"/>
              </w:rPr>
              <w:t>ACCERTAMENTI</w:t>
            </w:r>
          </w:p>
        </w:tc>
        <w:tc>
          <w:tcPr>
            <w:tcW w:w="1374" w:type="dxa"/>
            <w:vAlign w:val="bottom"/>
          </w:tcPr>
          <w:p w:rsidR="00FF3CBA" w:rsidRDefault="00FF3CBA">
            <w:pPr>
              <w:rPr>
                <w:rFonts w:eastAsia="Times New Roman"/>
                <w:sz w:val="18"/>
                <w:szCs w:val="18"/>
                <w:lang w:eastAsia="it-IT"/>
              </w:rPr>
            </w:pPr>
            <w:r>
              <w:rPr>
                <w:rFonts w:eastAsia="Times New Roman"/>
                <w:sz w:val="18"/>
                <w:szCs w:val="18"/>
                <w:lang w:eastAsia="it-IT"/>
              </w:rPr>
              <w:t>RISCOSSIONI</w:t>
            </w:r>
          </w:p>
        </w:tc>
        <w:tc>
          <w:tcPr>
            <w:tcW w:w="1553" w:type="dxa"/>
            <w:vAlign w:val="bottom"/>
          </w:tcPr>
          <w:p w:rsidR="00FF3CBA" w:rsidRDefault="00FF3CBA">
            <w:pPr>
              <w:rPr>
                <w:rFonts w:eastAsia="Times New Roman"/>
                <w:sz w:val="18"/>
                <w:szCs w:val="18"/>
                <w:lang w:eastAsia="it-IT"/>
              </w:rPr>
            </w:pPr>
            <w:r>
              <w:rPr>
                <w:rFonts w:eastAsia="Times New Roman"/>
                <w:sz w:val="18"/>
                <w:szCs w:val="18"/>
                <w:lang w:eastAsia="it-IT"/>
              </w:rPr>
              <w:t>ACCERTAMENTI</w:t>
            </w:r>
          </w:p>
        </w:tc>
        <w:tc>
          <w:tcPr>
            <w:tcW w:w="1440" w:type="dxa"/>
            <w:noWrap/>
            <w:vAlign w:val="bottom"/>
          </w:tcPr>
          <w:p w:rsidR="00FF3CBA" w:rsidRDefault="00FF3CBA">
            <w:pPr>
              <w:rPr>
                <w:sz w:val="18"/>
                <w:szCs w:val="18"/>
              </w:rPr>
            </w:pPr>
            <w:r>
              <w:rPr>
                <w:sz w:val="18"/>
                <w:szCs w:val="18"/>
              </w:rPr>
              <w:t>RISCOSSIONI</w:t>
            </w:r>
          </w:p>
        </w:tc>
        <w:tc>
          <w:tcPr>
            <w:tcW w:w="1560" w:type="dxa"/>
            <w:vAlign w:val="bottom"/>
          </w:tcPr>
          <w:p w:rsidR="00FF3CBA" w:rsidRDefault="00FF3CBA">
            <w:pPr>
              <w:rPr>
                <w:sz w:val="18"/>
                <w:szCs w:val="18"/>
              </w:rPr>
            </w:pPr>
            <w:r>
              <w:rPr>
                <w:sz w:val="18"/>
                <w:szCs w:val="18"/>
              </w:rPr>
              <w:t>ACCERTAMENTI</w:t>
            </w:r>
          </w:p>
        </w:tc>
      </w:tr>
      <w:tr w:rsidR="00FF3CBA">
        <w:trPr>
          <w:trHeight w:val="255"/>
        </w:trPr>
        <w:tc>
          <w:tcPr>
            <w:tcW w:w="431" w:type="dxa"/>
            <w:noWrap/>
            <w:vAlign w:val="bottom"/>
          </w:tcPr>
          <w:p w:rsidR="00FF3CBA" w:rsidRDefault="00FF3CBA">
            <w:pPr>
              <w:jc w:val="right"/>
              <w:rPr>
                <w:rFonts w:eastAsia="Times New Roman"/>
                <w:sz w:val="20"/>
                <w:szCs w:val="20"/>
                <w:lang w:eastAsia="it-IT"/>
              </w:rPr>
            </w:pPr>
            <w:r>
              <w:rPr>
                <w:rFonts w:eastAsia="Times New Roman"/>
                <w:sz w:val="20"/>
                <w:szCs w:val="20"/>
                <w:lang w:eastAsia="it-IT"/>
              </w:rPr>
              <w:t>RS</w:t>
            </w:r>
          </w:p>
        </w:tc>
        <w:tc>
          <w:tcPr>
            <w:tcW w:w="1452" w:type="dxa"/>
            <w:noWrap/>
            <w:vAlign w:val="bottom"/>
          </w:tcPr>
          <w:p w:rsidR="00FF3CBA" w:rsidRDefault="00FF3CBA">
            <w:pPr>
              <w:jc w:val="right"/>
              <w:rPr>
                <w:rFonts w:eastAsia="Times New Roman"/>
                <w:sz w:val="20"/>
                <w:szCs w:val="20"/>
                <w:lang w:eastAsia="it-IT"/>
              </w:rPr>
            </w:pPr>
            <w:r>
              <w:rPr>
                <w:rFonts w:eastAsia="Times New Roman"/>
                <w:sz w:val="20"/>
                <w:szCs w:val="20"/>
                <w:lang w:eastAsia="it-IT"/>
              </w:rPr>
              <w:t>657.552,93</w:t>
            </w:r>
          </w:p>
        </w:tc>
        <w:tc>
          <w:tcPr>
            <w:tcW w:w="1550" w:type="dxa"/>
            <w:vAlign w:val="bottom"/>
          </w:tcPr>
          <w:p w:rsidR="00FF3CBA" w:rsidRDefault="00FF3CBA">
            <w:pPr>
              <w:jc w:val="right"/>
              <w:rPr>
                <w:rFonts w:eastAsia="Times New Roman"/>
                <w:sz w:val="20"/>
                <w:szCs w:val="20"/>
                <w:lang w:eastAsia="it-IT"/>
              </w:rPr>
            </w:pPr>
            <w:r>
              <w:rPr>
                <w:rFonts w:eastAsia="Times New Roman"/>
                <w:sz w:val="20"/>
                <w:szCs w:val="20"/>
                <w:lang w:eastAsia="it-IT"/>
              </w:rPr>
              <w:t>2.631.690,88</w:t>
            </w:r>
          </w:p>
        </w:tc>
        <w:tc>
          <w:tcPr>
            <w:tcW w:w="1374" w:type="dxa"/>
            <w:vAlign w:val="bottom"/>
          </w:tcPr>
          <w:p w:rsidR="00FF3CBA" w:rsidRDefault="00FF3CBA">
            <w:pPr>
              <w:jc w:val="right"/>
              <w:rPr>
                <w:rFonts w:eastAsia="Times New Roman"/>
                <w:sz w:val="20"/>
                <w:szCs w:val="20"/>
                <w:lang w:eastAsia="it-IT"/>
              </w:rPr>
            </w:pPr>
            <w:r>
              <w:rPr>
                <w:rFonts w:eastAsia="Times New Roman"/>
                <w:sz w:val="20"/>
                <w:szCs w:val="20"/>
                <w:lang w:eastAsia="it-IT"/>
              </w:rPr>
              <w:t>741.734,75</w:t>
            </w:r>
          </w:p>
        </w:tc>
        <w:tc>
          <w:tcPr>
            <w:tcW w:w="1553" w:type="dxa"/>
            <w:vAlign w:val="bottom"/>
          </w:tcPr>
          <w:p w:rsidR="00FF3CBA" w:rsidRDefault="00FF3CBA">
            <w:pPr>
              <w:jc w:val="right"/>
              <w:rPr>
                <w:rFonts w:eastAsia="Times New Roman"/>
                <w:sz w:val="20"/>
                <w:szCs w:val="20"/>
                <w:lang w:eastAsia="it-IT"/>
              </w:rPr>
            </w:pPr>
            <w:r>
              <w:rPr>
                <w:rFonts w:eastAsia="Times New Roman"/>
                <w:sz w:val="20"/>
                <w:szCs w:val="20"/>
                <w:lang w:eastAsia="it-IT"/>
              </w:rPr>
              <w:t>3.485.996,61</w:t>
            </w:r>
          </w:p>
        </w:tc>
        <w:tc>
          <w:tcPr>
            <w:tcW w:w="1440" w:type="dxa"/>
            <w:noWrap/>
            <w:vAlign w:val="bottom"/>
          </w:tcPr>
          <w:p w:rsidR="00FF3CBA" w:rsidRDefault="00FF3CBA" w:rsidP="00C079CC">
            <w:pPr>
              <w:jc w:val="right"/>
              <w:rPr>
                <w:sz w:val="20"/>
                <w:szCs w:val="20"/>
              </w:rPr>
            </w:pPr>
            <w:r>
              <w:rPr>
                <w:sz w:val="20"/>
                <w:szCs w:val="20"/>
              </w:rPr>
              <w:t>1.105.831,63</w:t>
            </w:r>
          </w:p>
        </w:tc>
        <w:tc>
          <w:tcPr>
            <w:tcW w:w="1560" w:type="dxa"/>
            <w:vAlign w:val="bottom"/>
          </w:tcPr>
          <w:p w:rsidR="00FF3CBA" w:rsidRDefault="00FF3CBA" w:rsidP="00C079CC">
            <w:pPr>
              <w:jc w:val="right"/>
              <w:rPr>
                <w:sz w:val="20"/>
                <w:szCs w:val="20"/>
              </w:rPr>
            </w:pPr>
            <w:r>
              <w:rPr>
                <w:sz w:val="20"/>
                <w:szCs w:val="20"/>
              </w:rPr>
              <w:t>4.309.376,57</w:t>
            </w:r>
          </w:p>
        </w:tc>
      </w:tr>
      <w:tr w:rsidR="00FF3CBA">
        <w:trPr>
          <w:trHeight w:val="255"/>
        </w:trPr>
        <w:tc>
          <w:tcPr>
            <w:tcW w:w="431" w:type="dxa"/>
            <w:noWrap/>
            <w:vAlign w:val="bottom"/>
          </w:tcPr>
          <w:p w:rsidR="00FF3CBA" w:rsidRDefault="00FF3CBA">
            <w:pPr>
              <w:jc w:val="right"/>
              <w:rPr>
                <w:rFonts w:eastAsia="Times New Roman"/>
                <w:sz w:val="20"/>
                <w:szCs w:val="20"/>
                <w:lang w:eastAsia="it-IT"/>
              </w:rPr>
            </w:pPr>
            <w:r>
              <w:rPr>
                <w:rFonts w:eastAsia="Times New Roman"/>
                <w:sz w:val="20"/>
                <w:szCs w:val="20"/>
                <w:lang w:eastAsia="it-IT"/>
              </w:rPr>
              <w:t>CP</w:t>
            </w:r>
          </w:p>
        </w:tc>
        <w:tc>
          <w:tcPr>
            <w:tcW w:w="1452" w:type="dxa"/>
            <w:noWrap/>
            <w:vAlign w:val="bottom"/>
          </w:tcPr>
          <w:p w:rsidR="00FF3CBA" w:rsidRDefault="00FF3CBA">
            <w:pPr>
              <w:jc w:val="right"/>
              <w:rPr>
                <w:rFonts w:eastAsia="Times New Roman"/>
                <w:sz w:val="20"/>
                <w:szCs w:val="20"/>
                <w:lang w:eastAsia="it-IT"/>
              </w:rPr>
            </w:pPr>
            <w:r>
              <w:rPr>
                <w:rFonts w:eastAsia="Times New Roman"/>
                <w:sz w:val="20"/>
                <w:szCs w:val="20"/>
                <w:lang w:eastAsia="it-IT"/>
              </w:rPr>
              <w:t>606.312,45</w:t>
            </w:r>
          </w:p>
        </w:tc>
        <w:tc>
          <w:tcPr>
            <w:tcW w:w="1550" w:type="dxa"/>
            <w:vAlign w:val="bottom"/>
          </w:tcPr>
          <w:p w:rsidR="00FF3CBA" w:rsidRDefault="00FF3CBA">
            <w:pPr>
              <w:jc w:val="right"/>
              <w:rPr>
                <w:rFonts w:eastAsia="Times New Roman"/>
                <w:sz w:val="20"/>
                <w:szCs w:val="20"/>
                <w:lang w:eastAsia="it-IT"/>
              </w:rPr>
            </w:pPr>
            <w:r>
              <w:rPr>
                <w:rFonts w:eastAsia="Times New Roman"/>
                <w:sz w:val="20"/>
                <w:szCs w:val="20"/>
                <w:lang w:eastAsia="it-IT"/>
              </w:rPr>
              <w:t>2.359.018,53</w:t>
            </w:r>
          </w:p>
        </w:tc>
        <w:tc>
          <w:tcPr>
            <w:tcW w:w="1374" w:type="dxa"/>
            <w:vAlign w:val="bottom"/>
          </w:tcPr>
          <w:p w:rsidR="00FF3CBA" w:rsidRDefault="00FF3CBA">
            <w:pPr>
              <w:jc w:val="right"/>
              <w:rPr>
                <w:rFonts w:eastAsia="Times New Roman"/>
                <w:sz w:val="20"/>
                <w:szCs w:val="20"/>
                <w:lang w:eastAsia="it-IT"/>
              </w:rPr>
            </w:pPr>
            <w:r>
              <w:rPr>
                <w:rFonts w:eastAsia="Times New Roman"/>
                <w:sz w:val="20"/>
                <w:szCs w:val="20"/>
                <w:lang w:eastAsia="it-IT"/>
              </w:rPr>
              <w:t>1.505.629,81</w:t>
            </w:r>
          </w:p>
        </w:tc>
        <w:tc>
          <w:tcPr>
            <w:tcW w:w="1553" w:type="dxa"/>
            <w:vAlign w:val="bottom"/>
          </w:tcPr>
          <w:p w:rsidR="00FF3CBA" w:rsidRDefault="00FF3CBA">
            <w:pPr>
              <w:jc w:val="right"/>
              <w:rPr>
                <w:rFonts w:eastAsia="Times New Roman"/>
                <w:sz w:val="20"/>
                <w:szCs w:val="20"/>
                <w:lang w:eastAsia="it-IT"/>
              </w:rPr>
            </w:pPr>
            <w:r>
              <w:rPr>
                <w:rFonts w:eastAsia="Times New Roman"/>
                <w:sz w:val="20"/>
                <w:szCs w:val="20"/>
                <w:lang w:eastAsia="it-IT"/>
              </w:rPr>
              <w:t>3.347.213,67</w:t>
            </w:r>
          </w:p>
        </w:tc>
        <w:tc>
          <w:tcPr>
            <w:tcW w:w="1440" w:type="dxa"/>
            <w:noWrap/>
            <w:vAlign w:val="bottom"/>
          </w:tcPr>
          <w:p w:rsidR="00FF3CBA" w:rsidRDefault="00FF3CBA" w:rsidP="00C079CC">
            <w:pPr>
              <w:jc w:val="right"/>
              <w:rPr>
                <w:sz w:val="20"/>
                <w:szCs w:val="20"/>
              </w:rPr>
            </w:pPr>
            <w:r>
              <w:rPr>
                <w:sz w:val="20"/>
                <w:szCs w:val="20"/>
              </w:rPr>
              <w:t>1.950.568,28</w:t>
            </w:r>
          </w:p>
        </w:tc>
        <w:tc>
          <w:tcPr>
            <w:tcW w:w="1560" w:type="dxa"/>
            <w:vAlign w:val="bottom"/>
          </w:tcPr>
          <w:p w:rsidR="00FF3CBA" w:rsidRDefault="00FF3CBA" w:rsidP="00C079CC">
            <w:pPr>
              <w:jc w:val="right"/>
              <w:rPr>
                <w:sz w:val="20"/>
                <w:szCs w:val="20"/>
              </w:rPr>
            </w:pPr>
            <w:r>
              <w:rPr>
                <w:sz w:val="20"/>
                <w:szCs w:val="20"/>
              </w:rPr>
              <w:t>3.884.411,41</w:t>
            </w:r>
          </w:p>
        </w:tc>
      </w:tr>
      <w:tr w:rsidR="00FF3CBA">
        <w:trPr>
          <w:trHeight w:val="270"/>
        </w:trPr>
        <w:tc>
          <w:tcPr>
            <w:tcW w:w="431" w:type="dxa"/>
            <w:noWrap/>
            <w:vAlign w:val="bottom"/>
          </w:tcPr>
          <w:p w:rsidR="00FF3CBA" w:rsidRDefault="00FF3CBA">
            <w:pPr>
              <w:rPr>
                <w:rFonts w:eastAsia="Times New Roman"/>
                <w:sz w:val="20"/>
                <w:szCs w:val="20"/>
                <w:lang w:eastAsia="it-IT"/>
              </w:rPr>
            </w:pPr>
          </w:p>
        </w:tc>
        <w:tc>
          <w:tcPr>
            <w:tcW w:w="1452" w:type="dxa"/>
            <w:noWrap/>
            <w:vAlign w:val="bottom"/>
          </w:tcPr>
          <w:p w:rsidR="00FF3CBA" w:rsidRDefault="00FF3CBA">
            <w:pPr>
              <w:jc w:val="right"/>
              <w:rPr>
                <w:rFonts w:eastAsia="Times New Roman"/>
                <w:b/>
                <w:bCs/>
                <w:sz w:val="20"/>
                <w:szCs w:val="20"/>
                <w:lang w:eastAsia="it-IT"/>
              </w:rPr>
            </w:pPr>
            <w:r>
              <w:rPr>
                <w:rFonts w:eastAsia="Times New Roman"/>
                <w:b/>
                <w:bCs/>
                <w:sz w:val="20"/>
                <w:szCs w:val="20"/>
                <w:lang w:eastAsia="it-IT"/>
              </w:rPr>
              <w:t>1.263.865,38</w:t>
            </w:r>
          </w:p>
        </w:tc>
        <w:tc>
          <w:tcPr>
            <w:tcW w:w="1550" w:type="dxa"/>
            <w:vAlign w:val="bottom"/>
          </w:tcPr>
          <w:p w:rsidR="00FF3CBA" w:rsidRDefault="00FF3CBA">
            <w:pPr>
              <w:jc w:val="right"/>
              <w:rPr>
                <w:rFonts w:eastAsia="Times New Roman"/>
                <w:b/>
                <w:bCs/>
                <w:sz w:val="20"/>
                <w:szCs w:val="20"/>
                <w:lang w:eastAsia="it-IT"/>
              </w:rPr>
            </w:pPr>
            <w:r>
              <w:rPr>
                <w:rFonts w:eastAsia="Times New Roman"/>
                <w:b/>
                <w:bCs/>
                <w:sz w:val="20"/>
                <w:szCs w:val="20"/>
                <w:lang w:eastAsia="it-IT"/>
              </w:rPr>
              <w:t>4.990.709,41</w:t>
            </w:r>
          </w:p>
        </w:tc>
        <w:tc>
          <w:tcPr>
            <w:tcW w:w="1374" w:type="dxa"/>
            <w:vAlign w:val="bottom"/>
          </w:tcPr>
          <w:p w:rsidR="00FF3CBA" w:rsidRDefault="00FF3CBA">
            <w:pPr>
              <w:jc w:val="right"/>
              <w:rPr>
                <w:rFonts w:eastAsia="Times New Roman"/>
                <w:b/>
                <w:bCs/>
                <w:sz w:val="20"/>
                <w:szCs w:val="20"/>
                <w:lang w:eastAsia="it-IT"/>
              </w:rPr>
            </w:pPr>
            <w:r>
              <w:rPr>
                <w:rFonts w:eastAsia="Times New Roman"/>
                <w:b/>
                <w:bCs/>
                <w:sz w:val="20"/>
                <w:szCs w:val="20"/>
                <w:lang w:eastAsia="it-IT"/>
              </w:rPr>
              <w:t>2.247.364,56</w:t>
            </w:r>
          </w:p>
        </w:tc>
        <w:tc>
          <w:tcPr>
            <w:tcW w:w="1553" w:type="dxa"/>
            <w:vAlign w:val="bottom"/>
          </w:tcPr>
          <w:p w:rsidR="00FF3CBA" w:rsidRDefault="00FF3CBA">
            <w:pPr>
              <w:jc w:val="right"/>
              <w:rPr>
                <w:rFonts w:eastAsia="Times New Roman"/>
                <w:b/>
                <w:bCs/>
                <w:sz w:val="20"/>
                <w:szCs w:val="20"/>
                <w:lang w:eastAsia="it-IT"/>
              </w:rPr>
            </w:pPr>
            <w:r>
              <w:rPr>
                <w:rFonts w:eastAsia="Times New Roman"/>
                <w:b/>
                <w:bCs/>
                <w:sz w:val="20"/>
                <w:szCs w:val="20"/>
                <w:lang w:eastAsia="it-IT"/>
              </w:rPr>
              <w:t>6.833.210,28</w:t>
            </w:r>
          </w:p>
        </w:tc>
        <w:tc>
          <w:tcPr>
            <w:tcW w:w="1440" w:type="dxa"/>
            <w:noWrap/>
            <w:vAlign w:val="bottom"/>
          </w:tcPr>
          <w:p w:rsidR="00FF3CBA" w:rsidRDefault="00FF3CBA" w:rsidP="00C079CC">
            <w:pPr>
              <w:jc w:val="right"/>
              <w:rPr>
                <w:b/>
                <w:bCs/>
                <w:sz w:val="20"/>
                <w:szCs w:val="20"/>
              </w:rPr>
            </w:pPr>
            <w:r>
              <w:rPr>
                <w:b/>
                <w:bCs/>
                <w:sz w:val="20"/>
                <w:szCs w:val="20"/>
              </w:rPr>
              <w:t>3.056.399,91</w:t>
            </w:r>
          </w:p>
        </w:tc>
        <w:tc>
          <w:tcPr>
            <w:tcW w:w="1560" w:type="dxa"/>
            <w:vAlign w:val="bottom"/>
          </w:tcPr>
          <w:p w:rsidR="00FF3CBA" w:rsidRDefault="00FF3CBA" w:rsidP="00C079CC">
            <w:pPr>
              <w:jc w:val="right"/>
              <w:rPr>
                <w:b/>
                <w:bCs/>
                <w:sz w:val="20"/>
                <w:szCs w:val="20"/>
              </w:rPr>
            </w:pPr>
            <w:r>
              <w:rPr>
                <w:b/>
                <w:bCs/>
                <w:sz w:val="20"/>
                <w:szCs w:val="20"/>
              </w:rPr>
              <w:t>8.193.787,98</w:t>
            </w:r>
          </w:p>
        </w:tc>
      </w:tr>
    </w:tbl>
    <w:p w:rsidR="00FF3CBA" w:rsidRDefault="00FF3CBA">
      <w:pPr>
        <w:ind w:left="1125"/>
        <w:jc w:val="both"/>
      </w:pPr>
    </w:p>
    <w:p w:rsidR="00FF3CBA" w:rsidRDefault="00FF3CBA">
      <w:pPr>
        <w:ind w:left="1125"/>
        <w:jc w:val="both"/>
      </w:pPr>
    </w:p>
    <w:p w:rsidR="00FF3CBA" w:rsidRDefault="00FF3CBA">
      <w:pPr>
        <w:ind w:left="1125"/>
        <w:jc w:val="both"/>
      </w:pPr>
    </w:p>
    <w:p w:rsidR="00FF3CBA" w:rsidRDefault="00FF3CBA">
      <w:pPr>
        <w:autoSpaceDE w:val="0"/>
        <w:autoSpaceDN w:val="0"/>
        <w:adjustRightInd w:val="0"/>
        <w:ind w:left="360"/>
        <w:jc w:val="both"/>
        <w:rPr>
          <w:rFonts w:eastAsia="Times New Roman"/>
          <w:color w:val="000000"/>
          <w:lang w:eastAsia="it-IT"/>
        </w:rPr>
      </w:pPr>
    </w:p>
    <w:p w:rsidR="00FF3CBA" w:rsidRDefault="00FF3CBA">
      <w:pPr>
        <w:autoSpaceDE w:val="0"/>
        <w:autoSpaceDN w:val="0"/>
        <w:adjustRightInd w:val="0"/>
        <w:ind w:left="360"/>
        <w:jc w:val="both"/>
        <w:rPr>
          <w:rFonts w:eastAsia="Times New Roman"/>
          <w:color w:val="000000"/>
          <w:lang w:eastAsia="it-IT"/>
        </w:rPr>
      </w:pPr>
    </w:p>
    <w:p w:rsidR="00FF3CBA" w:rsidRDefault="00FF3CBA">
      <w:pPr>
        <w:autoSpaceDE w:val="0"/>
        <w:autoSpaceDN w:val="0"/>
        <w:adjustRightInd w:val="0"/>
        <w:ind w:left="360"/>
        <w:jc w:val="both"/>
        <w:rPr>
          <w:rFonts w:eastAsia="Times New Roman"/>
          <w:color w:val="000000"/>
          <w:lang w:eastAsia="it-IT"/>
        </w:rPr>
      </w:pPr>
    </w:p>
    <w:p w:rsidR="00FF3CBA" w:rsidRDefault="00FF3CBA">
      <w:pPr>
        <w:autoSpaceDE w:val="0"/>
        <w:autoSpaceDN w:val="0"/>
        <w:adjustRightInd w:val="0"/>
        <w:ind w:left="360"/>
        <w:jc w:val="both"/>
        <w:rPr>
          <w:rFonts w:eastAsia="Times New Roman"/>
          <w:color w:val="000000"/>
          <w:lang w:eastAsia="it-IT"/>
        </w:rPr>
      </w:pPr>
    </w:p>
    <w:p w:rsidR="00FF3CBA" w:rsidRDefault="00FF3CBA">
      <w:pPr>
        <w:autoSpaceDE w:val="0"/>
        <w:autoSpaceDN w:val="0"/>
        <w:adjustRightInd w:val="0"/>
        <w:ind w:left="360"/>
        <w:jc w:val="both"/>
        <w:rPr>
          <w:rFonts w:eastAsia="Times New Roman"/>
          <w:color w:val="000000"/>
          <w:sz w:val="20"/>
          <w:szCs w:val="20"/>
          <w:lang w:eastAsia="it-IT"/>
        </w:rPr>
      </w:pPr>
    </w:p>
    <w:p w:rsidR="00B01210" w:rsidRDefault="00B01210">
      <w:pPr>
        <w:autoSpaceDE w:val="0"/>
        <w:autoSpaceDN w:val="0"/>
        <w:adjustRightInd w:val="0"/>
        <w:ind w:left="360"/>
        <w:jc w:val="both"/>
        <w:rPr>
          <w:rFonts w:eastAsia="Times New Roman"/>
          <w:color w:val="000000"/>
          <w:sz w:val="20"/>
          <w:szCs w:val="20"/>
          <w:lang w:eastAsia="it-IT"/>
        </w:rPr>
      </w:pPr>
    </w:p>
    <w:p w:rsidR="00FF3CBA" w:rsidRDefault="008B26B0">
      <w:pPr>
        <w:autoSpaceDE w:val="0"/>
        <w:autoSpaceDN w:val="0"/>
        <w:adjustRightInd w:val="0"/>
        <w:ind w:left="360"/>
        <w:jc w:val="both"/>
        <w:rPr>
          <w:szCs w:val="16"/>
        </w:rPr>
      </w:pPr>
      <w:r>
        <w:rPr>
          <w:noProof/>
          <w:lang w:eastAsia="it-IT"/>
        </w:rPr>
        <w:drawing>
          <wp:inline distT="0" distB="0" distL="0" distR="0">
            <wp:extent cx="5565775" cy="266382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5775" cy="2663825"/>
                    </a:xfrm>
                    <a:prstGeom prst="rect">
                      <a:avLst/>
                    </a:prstGeom>
                    <a:noFill/>
                    <a:ln>
                      <a:noFill/>
                    </a:ln>
                  </pic:spPr>
                </pic:pic>
              </a:graphicData>
            </a:graphic>
          </wp:inline>
        </w:drawing>
      </w:r>
    </w:p>
    <w:p w:rsidR="00FF3CBA" w:rsidRDefault="008B26B0">
      <w:pPr>
        <w:autoSpaceDE w:val="0"/>
        <w:autoSpaceDN w:val="0"/>
        <w:adjustRightInd w:val="0"/>
        <w:ind w:left="360"/>
        <w:jc w:val="both"/>
      </w:pPr>
      <w:r>
        <w:rPr>
          <w:noProof/>
          <w:lang w:eastAsia="it-IT"/>
        </w:rPr>
        <w:drawing>
          <wp:inline distT="0" distB="0" distL="0" distR="0">
            <wp:extent cx="5502275" cy="26638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2275" cy="2663825"/>
                    </a:xfrm>
                    <a:prstGeom prst="rect">
                      <a:avLst/>
                    </a:prstGeom>
                    <a:noFill/>
                    <a:ln>
                      <a:noFill/>
                    </a:ln>
                  </pic:spPr>
                </pic:pic>
              </a:graphicData>
            </a:graphic>
          </wp:inline>
        </w:drawing>
      </w:r>
    </w:p>
    <w:p w:rsidR="00FF3CBA" w:rsidRDefault="008B26B0">
      <w:pPr>
        <w:autoSpaceDE w:val="0"/>
        <w:autoSpaceDN w:val="0"/>
        <w:adjustRightInd w:val="0"/>
        <w:ind w:left="360"/>
        <w:jc w:val="both"/>
      </w:pPr>
      <w:r>
        <w:rPr>
          <w:noProof/>
          <w:lang w:eastAsia="it-IT"/>
        </w:rPr>
        <w:lastRenderedPageBreak/>
        <w:drawing>
          <wp:inline distT="0" distB="0" distL="0" distR="0">
            <wp:extent cx="5589905" cy="303720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9905" cy="3037205"/>
                    </a:xfrm>
                    <a:prstGeom prst="rect">
                      <a:avLst/>
                    </a:prstGeom>
                    <a:noFill/>
                    <a:ln>
                      <a:noFill/>
                    </a:ln>
                  </pic:spPr>
                </pic:pic>
              </a:graphicData>
            </a:graphic>
          </wp:inline>
        </w:drawing>
      </w:r>
    </w:p>
    <w:p w:rsidR="00FF3CBA" w:rsidRPr="008A7AF8" w:rsidRDefault="008A7AF8">
      <w:pPr>
        <w:ind w:left="1200"/>
        <w:jc w:val="both"/>
        <w:rPr>
          <w:b/>
        </w:rPr>
      </w:pPr>
      <w:r>
        <w:t>S</w:t>
      </w:r>
      <w:r w:rsidR="00FF3CBA">
        <w:t>i allegano stralci dei consuntivi relativi al Titolo I delle Entrate tributarie riportanti il dettaglio delle singole Imposte e tasse per gli anni 2011-2012-2013 (quest’ultimo in fase di chiusura).</w:t>
      </w:r>
      <w:r>
        <w:t xml:space="preserve"> </w:t>
      </w:r>
      <w:r w:rsidRPr="008A7AF8">
        <w:rPr>
          <w:b/>
        </w:rPr>
        <w:t>Allegato H</w:t>
      </w:r>
      <w:r>
        <w:rPr>
          <w:b/>
        </w:rPr>
        <w:t>.-</w:t>
      </w:r>
    </w:p>
    <w:p w:rsidR="00FF3CBA" w:rsidRPr="008A7AF8" w:rsidRDefault="00FF3CBA">
      <w:pPr>
        <w:autoSpaceDE w:val="0"/>
        <w:autoSpaceDN w:val="0"/>
        <w:adjustRightInd w:val="0"/>
        <w:ind w:left="360"/>
        <w:jc w:val="both"/>
        <w:rPr>
          <w:b/>
        </w:rPr>
      </w:pPr>
    </w:p>
    <w:p w:rsidR="00FF3CBA" w:rsidRDefault="00FF3CBA">
      <w:pPr>
        <w:numPr>
          <w:ilvl w:val="0"/>
          <w:numId w:val="2"/>
        </w:numPr>
        <w:autoSpaceDE w:val="0"/>
        <w:autoSpaceDN w:val="0"/>
        <w:adjustRightInd w:val="0"/>
        <w:jc w:val="both"/>
        <w:rPr>
          <w:rFonts w:eastAsia="Times New Roman"/>
          <w:color w:val="000000"/>
          <w:lang w:eastAsia="it-IT"/>
        </w:rPr>
      </w:pPr>
      <w:r>
        <w:rPr>
          <w:rFonts w:eastAsia="Times New Roman"/>
          <w:b/>
          <w:color w:val="000000"/>
          <w:lang w:eastAsia="it-IT"/>
        </w:rPr>
        <w:t>Punto 6 - Debiti fuori bilancio</w:t>
      </w:r>
      <w:r>
        <w:rPr>
          <w:rFonts w:eastAsia="Times New Roman"/>
          <w:b/>
          <w:color w:val="000000"/>
          <w:sz w:val="28"/>
          <w:szCs w:val="28"/>
          <w:lang w:eastAsia="it-IT"/>
        </w:rPr>
        <w:t xml:space="preserve">: </w:t>
      </w:r>
    </w:p>
    <w:p w:rsidR="00C91A8C" w:rsidRDefault="00FF3CBA">
      <w:pPr>
        <w:autoSpaceDE w:val="0"/>
        <w:autoSpaceDN w:val="0"/>
        <w:adjustRightInd w:val="0"/>
        <w:ind w:left="1200"/>
        <w:jc w:val="both"/>
        <w:rPr>
          <w:rFonts w:eastAsia="Times New Roman"/>
          <w:lang w:eastAsia="it-IT"/>
        </w:rPr>
      </w:pPr>
      <w:r>
        <w:rPr>
          <w:rFonts w:eastAsia="Times New Roman"/>
          <w:lang w:eastAsia="it-IT"/>
        </w:rPr>
        <w:t>Al riguardo l’Amministrazione comunale, preso atto che i debit</w:t>
      </w:r>
      <w:r w:rsidR="00C91A8C">
        <w:rPr>
          <w:rFonts w:eastAsia="Times New Roman"/>
          <w:lang w:eastAsia="it-IT"/>
        </w:rPr>
        <w:t xml:space="preserve">i </w:t>
      </w:r>
      <w:r w:rsidR="00C91A8C">
        <w:rPr>
          <w:rFonts w:eastAsia="Times New Roman"/>
          <w:lang w:eastAsia="it-IT"/>
        </w:rPr>
        <w:tab/>
        <w:t xml:space="preserve"> fuori </w:t>
      </w:r>
      <w:r>
        <w:rPr>
          <w:rFonts w:eastAsia="Times New Roman"/>
          <w:lang w:eastAsia="it-IT"/>
        </w:rPr>
        <w:t>bilancio riconosciuti nel corso degli esercizi</w:t>
      </w:r>
    </w:p>
    <w:p w:rsidR="00FF3CBA" w:rsidRDefault="00FF3CBA">
      <w:pPr>
        <w:autoSpaceDE w:val="0"/>
        <w:autoSpaceDN w:val="0"/>
        <w:adjustRightInd w:val="0"/>
        <w:ind w:left="1200"/>
        <w:jc w:val="both"/>
        <w:rPr>
          <w:rFonts w:eastAsia="Times New Roman"/>
          <w:lang w:eastAsia="it-IT"/>
        </w:rPr>
      </w:pPr>
      <w:r>
        <w:rPr>
          <w:rFonts w:eastAsia="Times New Roman"/>
          <w:lang w:eastAsia="it-IT"/>
        </w:rPr>
        <w:t xml:space="preserve"> precedenti il 2013, non afferiscono esclusivamente a sentenze esecutive, ha attivato un’azione di sensibilizzazione dei responsabili di Settore, affinché qualsiasi spesa venisse ricondotta ai normali canoni della contabilità pubblica, preoccupandosi di procedere preventivamente a tutti gli impegni di spesa necessari per la corretta gestione della vita amministrativa. </w:t>
      </w:r>
    </w:p>
    <w:p w:rsidR="00FF3CBA" w:rsidRDefault="00FF3CBA">
      <w:pPr>
        <w:autoSpaceDE w:val="0"/>
        <w:autoSpaceDN w:val="0"/>
        <w:adjustRightInd w:val="0"/>
        <w:ind w:left="1200"/>
        <w:jc w:val="both"/>
        <w:rPr>
          <w:rFonts w:eastAsia="Times New Roman"/>
          <w:lang w:eastAsia="it-IT"/>
        </w:rPr>
      </w:pPr>
      <w:r>
        <w:rPr>
          <w:rFonts w:eastAsia="Times New Roman"/>
          <w:lang w:eastAsia="it-IT"/>
        </w:rPr>
        <w:t>Idonee indicazion</w:t>
      </w:r>
      <w:r w:rsidR="00C91A8C">
        <w:rPr>
          <w:rFonts w:eastAsia="Times New Roman"/>
          <w:lang w:eastAsia="it-IT"/>
        </w:rPr>
        <w:t>i</w:t>
      </w:r>
      <w:r>
        <w:rPr>
          <w:rFonts w:eastAsia="Times New Roman"/>
          <w:lang w:eastAsia="it-IT"/>
        </w:rPr>
        <w:t xml:space="preserve"> sono state impartite per la definizione bonaria di alcune pendenze in atto e per l’immediata trasmissione, per la definizione, agli organi politici delle controversie in cui l’Amministrazione risulta soccombente con il contestuale riconoscimento della passività. </w:t>
      </w:r>
    </w:p>
    <w:p w:rsidR="00FF3CBA" w:rsidRDefault="00FF3CBA">
      <w:pPr>
        <w:autoSpaceDE w:val="0"/>
        <w:autoSpaceDN w:val="0"/>
        <w:adjustRightInd w:val="0"/>
        <w:ind w:left="1200"/>
        <w:jc w:val="both"/>
        <w:rPr>
          <w:rFonts w:eastAsia="Times New Roman"/>
          <w:color w:val="FF0000"/>
          <w:lang w:eastAsia="it-IT"/>
        </w:rPr>
      </w:pPr>
    </w:p>
    <w:p w:rsidR="00FF3CBA" w:rsidRDefault="00FF3CBA">
      <w:pPr>
        <w:numPr>
          <w:ilvl w:val="0"/>
          <w:numId w:val="2"/>
        </w:numPr>
        <w:autoSpaceDE w:val="0"/>
        <w:autoSpaceDN w:val="0"/>
        <w:adjustRightInd w:val="0"/>
        <w:rPr>
          <w:rFonts w:eastAsia="Times New Roman"/>
          <w:b/>
          <w:color w:val="000000"/>
          <w:lang w:eastAsia="it-IT"/>
        </w:rPr>
      </w:pPr>
      <w:r>
        <w:rPr>
          <w:rFonts w:eastAsia="Times New Roman"/>
          <w:b/>
          <w:color w:val="000000"/>
          <w:lang w:eastAsia="it-IT"/>
        </w:rPr>
        <w:t xml:space="preserve">Punto  7- Utilizzo dei servizi per conto terzi: </w:t>
      </w:r>
    </w:p>
    <w:p w:rsidR="00FF3CBA" w:rsidRDefault="00FF3CBA">
      <w:pPr>
        <w:ind w:left="1125"/>
        <w:jc w:val="both"/>
      </w:pPr>
      <w:r>
        <w:t>Già nel Bilancio 2013 si è provveduto a eliminare la prassi di utilizzare la voce “altri servizi c/terzi” utilizzando invece appositi capitoli di Entrata e di Uscita per le voci diverse da quelle previste dal principio contabile 2.25. All’interno della voce “Spese per servizi per conto di terzi” è rimasto nel 2013 esclusivamente un impegno e relativo accertamento di pari importo inerente una somma tornata indietro per errata intestazione del C/C bancario del beneficiario, che è stata tempestivamente girata al creditore non appena ha comunicato la giusta intestazione del C/C (nell’ambito della stessa giornata).</w:t>
      </w:r>
    </w:p>
    <w:p w:rsidR="00FF3CBA" w:rsidRDefault="008A7AF8">
      <w:pPr>
        <w:ind w:left="1125"/>
        <w:jc w:val="both"/>
      </w:pPr>
      <w:r w:rsidRPr="008A7AF8">
        <w:rPr>
          <w:b/>
        </w:rPr>
        <w:t>Allegato L</w:t>
      </w:r>
      <w:r>
        <w:t xml:space="preserve"> - </w:t>
      </w:r>
      <w:r w:rsidR="00FF3CBA">
        <w:t xml:space="preserve"> stampa capitoli “Servizi c/terzi”.</w:t>
      </w:r>
    </w:p>
    <w:p w:rsidR="00FF3CBA" w:rsidRDefault="00FF3CBA">
      <w:pPr>
        <w:ind w:left="1125"/>
        <w:jc w:val="both"/>
      </w:pPr>
    </w:p>
    <w:p w:rsidR="00F35035" w:rsidRDefault="00F35035">
      <w:pPr>
        <w:ind w:left="1125"/>
        <w:jc w:val="both"/>
      </w:pPr>
    </w:p>
    <w:p w:rsidR="00F35035" w:rsidRDefault="00F35035">
      <w:pPr>
        <w:ind w:left="1125"/>
        <w:jc w:val="both"/>
      </w:pPr>
    </w:p>
    <w:p w:rsidR="00F35035" w:rsidRDefault="00F35035">
      <w:pPr>
        <w:ind w:left="1125"/>
        <w:jc w:val="both"/>
      </w:pPr>
    </w:p>
    <w:p w:rsidR="00FF3CBA" w:rsidRDefault="00FF3CBA">
      <w:pPr>
        <w:numPr>
          <w:ilvl w:val="0"/>
          <w:numId w:val="2"/>
        </w:numPr>
        <w:autoSpaceDE w:val="0"/>
        <w:autoSpaceDN w:val="0"/>
        <w:adjustRightInd w:val="0"/>
        <w:rPr>
          <w:rFonts w:eastAsia="Times New Roman"/>
          <w:b/>
          <w:color w:val="000000"/>
          <w:lang w:eastAsia="it-IT"/>
        </w:rPr>
      </w:pPr>
      <w:r>
        <w:rPr>
          <w:rFonts w:eastAsia="Times New Roman"/>
          <w:b/>
          <w:color w:val="000000"/>
          <w:lang w:eastAsia="it-IT"/>
        </w:rPr>
        <w:lastRenderedPageBreak/>
        <w:t xml:space="preserve">Punto  8- Possibile sussistenza di condizione di Ente strutturalmente deficitario per l’esercizio 2011: </w:t>
      </w:r>
    </w:p>
    <w:p w:rsidR="00FF3CBA" w:rsidRDefault="00FF3CBA">
      <w:pPr>
        <w:ind w:left="1125"/>
        <w:jc w:val="both"/>
      </w:pPr>
      <w:r>
        <w:t xml:space="preserve">Si prende atto che i parametri di sussistenza di condizione di Ente strutturalmente deficitario, per l’anno 2011 sono negativi. In particolare risulta esatto quanto da codesta Corte segnalato. E’ utile sottolineare, comunque, che, sia per l’anno 2012 già chiuso, che per l’anno 2013. in fase di chiusura, risultano rispettati i parametri in argomento. Pertanto l’Ente non risulta strutturalmente deficitario. </w:t>
      </w:r>
    </w:p>
    <w:p w:rsidR="00FF3CBA" w:rsidRDefault="00FF3CBA">
      <w:pPr>
        <w:ind w:left="1125"/>
        <w:jc w:val="both"/>
      </w:pPr>
      <w:r>
        <w:t xml:space="preserve">A tale fine si allegano le certificazioni dei parametri del 2012 e previsionali del </w:t>
      </w:r>
      <w:r w:rsidRPr="007A6DB5">
        <w:t>2013</w:t>
      </w:r>
      <w:r>
        <w:t xml:space="preserve"> sottoscritti dalla scrivente</w:t>
      </w:r>
      <w:r w:rsidR="008A7AF8">
        <w:t xml:space="preserve"> </w:t>
      </w:r>
      <w:r w:rsidR="008A7AF8" w:rsidRPr="008A7AF8">
        <w:rPr>
          <w:b/>
        </w:rPr>
        <w:t>Allegato M</w:t>
      </w:r>
      <w:r>
        <w:t>. Mentre per i parametri dell’esercizio 2011 si provvederà alla riapprovazione del Conto Consuntivo con l’esatta certificazione dei parametri corretti da Codesta Corte.</w:t>
      </w:r>
    </w:p>
    <w:p w:rsidR="00FF3CBA" w:rsidRDefault="00FF3CBA">
      <w:pPr>
        <w:ind w:left="1080"/>
        <w:jc w:val="both"/>
      </w:pPr>
    </w:p>
    <w:p w:rsidR="00FF3CBA" w:rsidRDefault="00FF3CBA">
      <w:pPr>
        <w:ind w:left="1080"/>
        <w:jc w:val="both"/>
      </w:pPr>
    </w:p>
    <w:p w:rsidR="00FF3CBA" w:rsidRDefault="00FF3CBA">
      <w:pPr>
        <w:autoSpaceDE w:val="0"/>
        <w:autoSpaceDN w:val="0"/>
        <w:adjustRightInd w:val="0"/>
        <w:rPr>
          <w:rFonts w:eastAsia="Times New Roman"/>
          <w:lang w:eastAsia="it-IT"/>
        </w:rPr>
      </w:pPr>
      <w:r>
        <w:rPr>
          <w:rFonts w:eastAsia="Times New Roman"/>
          <w:lang w:eastAsia="it-IT"/>
        </w:rPr>
        <w:t xml:space="preserve">            Petrosino </w:t>
      </w:r>
      <w:r w:rsidR="007A6DB5">
        <w:rPr>
          <w:rFonts w:eastAsia="Times New Roman"/>
          <w:lang w:eastAsia="it-IT"/>
        </w:rPr>
        <w:t>05/02/2014</w:t>
      </w:r>
    </w:p>
    <w:p w:rsidR="00FF3CBA" w:rsidRDefault="00FF3CBA">
      <w:pPr>
        <w:jc w:val="right"/>
        <w:rPr>
          <w:rFonts w:eastAsia="Times New Roman"/>
          <w:lang w:eastAsia="it-IT"/>
        </w:rPr>
      </w:pPr>
    </w:p>
    <w:p w:rsidR="00FF3CBA" w:rsidRDefault="00FF3CBA">
      <w:pPr>
        <w:rPr>
          <w:rFonts w:ascii="Edwardian Script ITC" w:hAnsi="Edwardian Script ITC"/>
          <w:sz w:val="40"/>
          <w:szCs w:val="40"/>
        </w:rPr>
      </w:pPr>
    </w:p>
    <w:p w:rsidR="00FF3CBA" w:rsidRDefault="00FF3CBA">
      <w:pPr>
        <w:jc w:val="right"/>
        <w:rPr>
          <w:b/>
          <w:bCs/>
        </w:rPr>
      </w:pPr>
      <w:r>
        <w:rPr>
          <w:b/>
          <w:bCs/>
        </w:rPr>
        <w:t xml:space="preserve">              IL DIRIGENTE DEL II° SETTORE</w:t>
      </w:r>
    </w:p>
    <w:p w:rsidR="00FF3CBA" w:rsidRDefault="00FF3CBA">
      <w:pPr>
        <w:ind w:firstLine="708"/>
        <w:jc w:val="right"/>
        <w:rPr>
          <w:b/>
          <w:bCs/>
        </w:rPr>
      </w:pPr>
      <w:r>
        <w:rPr>
          <w:b/>
          <w:bCs/>
        </w:rPr>
        <w:t>FINANZIARIO E RISORSE UMANE</w:t>
      </w:r>
    </w:p>
    <w:p w:rsidR="00FF3CBA" w:rsidRDefault="00FF3CBA">
      <w:pPr>
        <w:ind w:firstLine="708"/>
        <w:jc w:val="center"/>
        <w:rPr>
          <w:rFonts w:ascii="Edwardian Script ITC" w:hAnsi="Edwardian Script ITC"/>
          <w:b/>
          <w:sz w:val="36"/>
          <w:szCs w:val="36"/>
        </w:rPr>
      </w:pPr>
      <w:r>
        <w:rPr>
          <w:rFonts w:ascii="Edwardian Script ITC" w:hAnsi="Edwardian Script ITC"/>
          <w:b/>
          <w:sz w:val="40"/>
          <w:szCs w:val="40"/>
        </w:rPr>
        <w:t xml:space="preserve">                                                                          (  R</w:t>
      </w:r>
      <w:r>
        <w:rPr>
          <w:rFonts w:ascii="Edwardian Script ITC" w:hAnsi="Edwardian Script ITC"/>
          <w:b/>
          <w:sz w:val="36"/>
          <w:szCs w:val="36"/>
        </w:rPr>
        <w:t>ag.  Dorotea Giacalone)</w:t>
      </w:r>
    </w:p>
    <w:p w:rsidR="00FF3CBA" w:rsidRDefault="00FF3CBA">
      <w:pPr>
        <w:jc w:val="both"/>
      </w:pPr>
    </w:p>
    <w:sectPr w:rsidR="00FF3CBA" w:rsidSect="006830CD">
      <w:footerReference w:type="default" r:id="rId15"/>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2C" w:rsidRDefault="0000722C">
      <w:r>
        <w:separator/>
      </w:r>
    </w:p>
  </w:endnote>
  <w:endnote w:type="continuationSeparator" w:id="0">
    <w:p w:rsidR="0000722C" w:rsidRDefault="0000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Edwardian Script ITC">
    <w:altName w:val="Arabic Typesetting"/>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BA" w:rsidRDefault="0000722C">
    <w:pPr>
      <w:pStyle w:val="Pidipagina"/>
      <w:jc w:val="center"/>
    </w:pPr>
    <w:r>
      <w:fldChar w:fldCharType="begin"/>
    </w:r>
    <w:r>
      <w:instrText xml:space="preserve"> PAGE   \*</w:instrText>
    </w:r>
    <w:r>
      <w:instrText xml:space="preserve"> MERGEFORMAT </w:instrText>
    </w:r>
    <w:r>
      <w:fldChar w:fldCharType="separate"/>
    </w:r>
    <w:r w:rsidR="008B26B0">
      <w:rPr>
        <w:noProof/>
      </w:rPr>
      <w:t>1</w:t>
    </w:r>
    <w:r>
      <w:rPr>
        <w:noProof/>
      </w:rPr>
      <w:fldChar w:fldCharType="end"/>
    </w:r>
  </w:p>
  <w:p w:rsidR="00FF3CBA" w:rsidRDefault="00FF3C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2C" w:rsidRDefault="0000722C">
      <w:r>
        <w:separator/>
      </w:r>
    </w:p>
  </w:footnote>
  <w:footnote w:type="continuationSeparator" w:id="0">
    <w:p w:rsidR="0000722C" w:rsidRDefault="00007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09E"/>
    <w:multiLevelType w:val="hybridMultilevel"/>
    <w:tmpl w:val="4B7E789E"/>
    <w:lvl w:ilvl="0" w:tplc="04100009">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096B6E38"/>
    <w:multiLevelType w:val="hybridMultilevel"/>
    <w:tmpl w:val="F572AFCA"/>
    <w:lvl w:ilvl="0" w:tplc="4B347B6C">
      <w:start w:val="1"/>
      <w:numFmt w:val="bullet"/>
      <w:lvlText w:val=""/>
      <w:lvlJc w:val="left"/>
      <w:pPr>
        <w:ind w:left="720" w:hanging="360"/>
      </w:pPr>
      <w:rPr>
        <w:rFonts w:ascii="Wingdings" w:hAnsi="Wingdings"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C11413"/>
    <w:multiLevelType w:val="multilevel"/>
    <w:tmpl w:val="808E5540"/>
    <w:lvl w:ilvl="0">
      <w:start w:val="2"/>
      <w:numFmt w:val="lowerLetter"/>
      <w:lvlText w:val="%1)"/>
      <w:lvlJc w:val="left"/>
      <w:pPr>
        <w:tabs>
          <w:tab w:val="num" w:pos="1636"/>
        </w:tabs>
        <w:ind w:left="1636" w:hanging="360"/>
      </w:pPr>
      <w:rPr>
        <w:rFonts w:ascii="Times New Roman" w:hAnsi="Times New Roman" w:cs="Times New Roman" w:hint="default"/>
        <w:b/>
        <w:color w:val="auto"/>
      </w:rPr>
    </w:lvl>
    <w:lvl w:ilvl="1">
      <w:start w:val="1"/>
      <w:numFmt w:val="bullet"/>
      <w:lvlText w:val="o"/>
      <w:lvlJc w:val="left"/>
      <w:pPr>
        <w:tabs>
          <w:tab w:val="num" w:pos="1440"/>
        </w:tabs>
        <w:ind w:left="1440" w:hanging="360"/>
      </w:pPr>
      <w:rPr>
        <w:rFonts w:ascii="Courier New" w:hAnsi="Courier New" w:hint="default"/>
        <w:b/>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89B2ED6"/>
    <w:multiLevelType w:val="hybridMultilevel"/>
    <w:tmpl w:val="7094759C"/>
    <w:lvl w:ilvl="0" w:tplc="E01E8D0C">
      <w:start w:val="4"/>
      <w:numFmt w:val="bullet"/>
      <w:lvlText w:val="-"/>
      <w:lvlJc w:val="left"/>
      <w:pPr>
        <w:tabs>
          <w:tab w:val="num" w:pos="1065"/>
        </w:tabs>
        <w:ind w:left="1065" w:hanging="360"/>
      </w:pPr>
      <w:rPr>
        <w:rFonts w:ascii="Times New Roman" w:eastAsia="SimSun" w:hAnsi="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4">
    <w:nsid w:val="20C96CE6"/>
    <w:multiLevelType w:val="hybridMultilevel"/>
    <w:tmpl w:val="213C3F1E"/>
    <w:lvl w:ilvl="0" w:tplc="0410000F">
      <w:start w:val="1"/>
      <w:numFmt w:val="decimal"/>
      <w:lvlText w:val="%1."/>
      <w:lvlJc w:val="left"/>
      <w:pPr>
        <w:ind w:left="1845" w:hanging="360"/>
      </w:pPr>
      <w:rPr>
        <w:rFonts w:cs="Times New Roman"/>
      </w:rPr>
    </w:lvl>
    <w:lvl w:ilvl="1" w:tplc="04100019" w:tentative="1">
      <w:start w:val="1"/>
      <w:numFmt w:val="lowerLetter"/>
      <w:lvlText w:val="%2."/>
      <w:lvlJc w:val="left"/>
      <w:pPr>
        <w:ind w:left="2565" w:hanging="360"/>
      </w:pPr>
      <w:rPr>
        <w:rFonts w:cs="Times New Roman"/>
      </w:rPr>
    </w:lvl>
    <w:lvl w:ilvl="2" w:tplc="0410001B" w:tentative="1">
      <w:start w:val="1"/>
      <w:numFmt w:val="lowerRoman"/>
      <w:lvlText w:val="%3."/>
      <w:lvlJc w:val="right"/>
      <w:pPr>
        <w:ind w:left="3285" w:hanging="180"/>
      </w:pPr>
      <w:rPr>
        <w:rFonts w:cs="Times New Roman"/>
      </w:rPr>
    </w:lvl>
    <w:lvl w:ilvl="3" w:tplc="0410000F" w:tentative="1">
      <w:start w:val="1"/>
      <w:numFmt w:val="decimal"/>
      <w:lvlText w:val="%4."/>
      <w:lvlJc w:val="left"/>
      <w:pPr>
        <w:ind w:left="4005" w:hanging="360"/>
      </w:pPr>
      <w:rPr>
        <w:rFonts w:cs="Times New Roman"/>
      </w:rPr>
    </w:lvl>
    <w:lvl w:ilvl="4" w:tplc="04100019" w:tentative="1">
      <w:start w:val="1"/>
      <w:numFmt w:val="lowerLetter"/>
      <w:lvlText w:val="%5."/>
      <w:lvlJc w:val="left"/>
      <w:pPr>
        <w:ind w:left="4725" w:hanging="360"/>
      </w:pPr>
      <w:rPr>
        <w:rFonts w:cs="Times New Roman"/>
      </w:rPr>
    </w:lvl>
    <w:lvl w:ilvl="5" w:tplc="0410001B" w:tentative="1">
      <w:start w:val="1"/>
      <w:numFmt w:val="lowerRoman"/>
      <w:lvlText w:val="%6."/>
      <w:lvlJc w:val="right"/>
      <w:pPr>
        <w:ind w:left="5445" w:hanging="180"/>
      </w:pPr>
      <w:rPr>
        <w:rFonts w:cs="Times New Roman"/>
      </w:rPr>
    </w:lvl>
    <w:lvl w:ilvl="6" w:tplc="0410000F" w:tentative="1">
      <w:start w:val="1"/>
      <w:numFmt w:val="decimal"/>
      <w:lvlText w:val="%7."/>
      <w:lvlJc w:val="left"/>
      <w:pPr>
        <w:ind w:left="6165" w:hanging="360"/>
      </w:pPr>
      <w:rPr>
        <w:rFonts w:cs="Times New Roman"/>
      </w:rPr>
    </w:lvl>
    <w:lvl w:ilvl="7" w:tplc="04100019" w:tentative="1">
      <w:start w:val="1"/>
      <w:numFmt w:val="lowerLetter"/>
      <w:lvlText w:val="%8."/>
      <w:lvlJc w:val="left"/>
      <w:pPr>
        <w:ind w:left="6885" w:hanging="360"/>
      </w:pPr>
      <w:rPr>
        <w:rFonts w:cs="Times New Roman"/>
      </w:rPr>
    </w:lvl>
    <w:lvl w:ilvl="8" w:tplc="0410001B" w:tentative="1">
      <w:start w:val="1"/>
      <w:numFmt w:val="lowerRoman"/>
      <w:lvlText w:val="%9."/>
      <w:lvlJc w:val="right"/>
      <w:pPr>
        <w:ind w:left="7605" w:hanging="180"/>
      </w:pPr>
      <w:rPr>
        <w:rFonts w:cs="Times New Roman"/>
      </w:rPr>
    </w:lvl>
  </w:abstractNum>
  <w:abstractNum w:abstractNumId="5">
    <w:nsid w:val="221A6AEA"/>
    <w:multiLevelType w:val="hybridMultilevel"/>
    <w:tmpl w:val="D70A5D24"/>
    <w:lvl w:ilvl="0" w:tplc="F5F42B66">
      <w:start w:val="1"/>
      <w:numFmt w:val="bullet"/>
      <w:lvlText w:val=""/>
      <w:lvlJc w:val="left"/>
      <w:pPr>
        <w:ind w:left="502" w:hanging="360"/>
      </w:pPr>
      <w:rPr>
        <w:rFonts w:ascii="Wingdings" w:hAnsi="Wingdings" w:hint="default"/>
        <w:color w:val="auto"/>
      </w:rPr>
    </w:lvl>
    <w:lvl w:ilvl="1" w:tplc="ABFEC7EA">
      <w:start w:val="35"/>
      <w:numFmt w:val="bullet"/>
      <w:lvlText w:val="-"/>
      <w:lvlJc w:val="left"/>
      <w:pPr>
        <w:tabs>
          <w:tab w:val="num" w:pos="1222"/>
        </w:tabs>
        <w:ind w:left="1222" w:hanging="360"/>
      </w:pPr>
      <w:rPr>
        <w:rFonts w:ascii="Times New Roman" w:eastAsia="SimSun" w:hAnsi="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nsid w:val="27354967"/>
    <w:multiLevelType w:val="hybridMultilevel"/>
    <w:tmpl w:val="1C02D5FC"/>
    <w:lvl w:ilvl="0" w:tplc="3F2E212A">
      <w:start w:val="1"/>
      <w:numFmt w:val="lowerLetter"/>
      <w:lvlText w:val="%1)"/>
      <w:lvlJc w:val="left"/>
      <w:pPr>
        <w:tabs>
          <w:tab w:val="num" w:pos="1636"/>
        </w:tabs>
        <w:ind w:left="1636" w:hanging="360"/>
      </w:pPr>
      <w:rPr>
        <w:rFonts w:ascii="Times New Roman" w:hAnsi="Times New Roman" w:cs="Times New Roman" w:hint="default"/>
        <w:b/>
        <w:color w:val="auto"/>
      </w:rPr>
    </w:lvl>
    <w:lvl w:ilvl="1" w:tplc="04100001">
      <w:start w:val="1"/>
      <w:numFmt w:val="bullet"/>
      <w:lvlText w:val=""/>
      <w:lvlJc w:val="left"/>
      <w:pPr>
        <w:tabs>
          <w:tab w:val="num" w:pos="2356"/>
        </w:tabs>
        <w:ind w:left="2356" w:hanging="360"/>
      </w:pPr>
      <w:rPr>
        <w:rFonts w:ascii="Symbol" w:hAnsi="Symbol" w:hint="default"/>
        <w:b/>
        <w:color w:val="auto"/>
      </w:rPr>
    </w:lvl>
    <w:lvl w:ilvl="2" w:tplc="0410001B" w:tentative="1">
      <w:start w:val="1"/>
      <w:numFmt w:val="lowerRoman"/>
      <w:lvlText w:val="%3."/>
      <w:lvlJc w:val="right"/>
      <w:pPr>
        <w:tabs>
          <w:tab w:val="num" w:pos="3076"/>
        </w:tabs>
        <w:ind w:left="3076" w:hanging="180"/>
      </w:pPr>
      <w:rPr>
        <w:rFonts w:cs="Times New Roman"/>
      </w:rPr>
    </w:lvl>
    <w:lvl w:ilvl="3" w:tplc="0410000F" w:tentative="1">
      <w:start w:val="1"/>
      <w:numFmt w:val="decimal"/>
      <w:lvlText w:val="%4."/>
      <w:lvlJc w:val="left"/>
      <w:pPr>
        <w:tabs>
          <w:tab w:val="num" w:pos="3796"/>
        </w:tabs>
        <w:ind w:left="3796" w:hanging="360"/>
      </w:pPr>
      <w:rPr>
        <w:rFonts w:cs="Times New Roman"/>
      </w:rPr>
    </w:lvl>
    <w:lvl w:ilvl="4" w:tplc="04100019" w:tentative="1">
      <w:start w:val="1"/>
      <w:numFmt w:val="lowerLetter"/>
      <w:lvlText w:val="%5."/>
      <w:lvlJc w:val="left"/>
      <w:pPr>
        <w:tabs>
          <w:tab w:val="num" w:pos="4516"/>
        </w:tabs>
        <w:ind w:left="4516" w:hanging="360"/>
      </w:pPr>
      <w:rPr>
        <w:rFonts w:cs="Times New Roman"/>
      </w:rPr>
    </w:lvl>
    <w:lvl w:ilvl="5" w:tplc="0410001B" w:tentative="1">
      <w:start w:val="1"/>
      <w:numFmt w:val="lowerRoman"/>
      <w:lvlText w:val="%6."/>
      <w:lvlJc w:val="right"/>
      <w:pPr>
        <w:tabs>
          <w:tab w:val="num" w:pos="5236"/>
        </w:tabs>
        <w:ind w:left="5236" w:hanging="180"/>
      </w:pPr>
      <w:rPr>
        <w:rFonts w:cs="Times New Roman"/>
      </w:rPr>
    </w:lvl>
    <w:lvl w:ilvl="6" w:tplc="0410000F" w:tentative="1">
      <w:start w:val="1"/>
      <w:numFmt w:val="decimal"/>
      <w:lvlText w:val="%7."/>
      <w:lvlJc w:val="left"/>
      <w:pPr>
        <w:tabs>
          <w:tab w:val="num" w:pos="5956"/>
        </w:tabs>
        <w:ind w:left="5956" w:hanging="360"/>
      </w:pPr>
      <w:rPr>
        <w:rFonts w:cs="Times New Roman"/>
      </w:rPr>
    </w:lvl>
    <w:lvl w:ilvl="7" w:tplc="04100019" w:tentative="1">
      <w:start w:val="1"/>
      <w:numFmt w:val="lowerLetter"/>
      <w:lvlText w:val="%8."/>
      <w:lvlJc w:val="left"/>
      <w:pPr>
        <w:tabs>
          <w:tab w:val="num" w:pos="6676"/>
        </w:tabs>
        <w:ind w:left="6676" w:hanging="360"/>
      </w:pPr>
      <w:rPr>
        <w:rFonts w:cs="Times New Roman"/>
      </w:rPr>
    </w:lvl>
    <w:lvl w:ilvl="8" w:tplc="0410001B" w:tentative="1">
      <w:start w:val="1"/>
      <w:numFmt w:val="lowerRoman"/>
      <w:lvlText w:val="%9."/>
      <w:lvlJc w:val="right"/>
      <w:pPr>
        <w:tabs>
          <w:tab w:val="num" w:pos="7396"/>
        </w:tabs>
        <w:ind w:left="7396" w:hanging="180"/>
      </w:pPr>
      <w:rPr>
        <w:rFonts w:cs="Times New Roman"/>
      </w:rPr>
    </w:lvl>
  </w:abstractNum>
  <w:abstractNum w:abstractNumId="7">
    <w:nsid w:val="34666802"/>
    <w:multiLevelType w:val="hybridMultilevel"/>
    <w:tmpl w:val="D8EEC16E"/>
    <w:lvl w:ilvl="0" w:tplc="B440A5A2">
      <w:numFmt w:val="bullet"/>
      <w:lvlText w:val="-"/>
      <w:lvlJc w:val="left"/>
      <w:pPr>
        <w:ind w:left="1065" w:hanging="360"/>
      </w:pPr>
      <w:rPr>
        <w:rFonts w:ascii="Times New Roman" w:eastAsia="SimSun" w:hAnsi="Times New Roman" w:hint="default"/>
      </w:rPr>
    </w:lvl>
    <w:lvl w:ilvl="1" w:tplc="04100003" w:tentative="1">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8">
    <w:nsid w:val="4AFE2E69"/>
    <w:multiLevelType w:val="hybridMultilevel"/>
    <w:tmpl w:val="6664A7D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nsid w:val="54033FD1"/>
    <w:multiLevelType w:val="hybridMultilevel"/>
    <w:tmpl w:val="11C2918A"/>
    <w:lvl w:ilvl="0" w:tplc="30CC51B4">
      <w:start w:val="2"/>
      <w:numFmt w:val="lowerLetter"/>
      <w:lvlText w:val="%1)"/>
      <w:lvlJc w:val="left"/>
      <w:pPr>
        <w:tabs>
          <w:tab w:val="num" w:pos="1636"/>
        </w:tabs>
        <w:ind w:left="1636" w:hanging="360"/>
      </w:pPr>
      <w:rPr>
        <w:rFonts w:ascii="Times New Roman" w:hAnsi="Times New Roman" w:cs="Times New Roman" w:hint="default"/>
        <w:b/>
        <w:color w:val="auto"/>
      </w:rPr>
    </w:lvl>
    <w:lvl w:ilvl="1" w:tplc="04100001">
      <w:start w:val="1"/>
      <w:numFmt w:val="bullet"/>
      <w:lvlText w:val=""/>
      <w:lvlJc w:val="left"/>
      <w:pPr>
        <w:tabs>
          <w:tab w:val="num" w:pos="2356"/>
        </w:tabs>
        <w:ind w:left="2356" w:hanging="360"/>
      </w:pPr>
      <w:rPr>
        <w:rFonts w:ascii="Symbol" w:hAnsi="Symbol" w:hint="default"/>
        <w:b/>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5BA50247"/>
    <w:multiLevelType w:val="multilevel"/>
    <w:tmpl w:val="1C02D5FC"/>
    <w:lvl w:ilvl="0">
      <w:start w:val="1"/>
      <w:numFmt w:val="lowerLetter"/>
      <w:lvlText w:val="%1)"/>
      <w:lvlJc w:val="left"/>
      <w:pPr>
        <w:tabs>
          <w:tab w:val="num" w:pos="1636"/>
        </w:tabs>
        <w:ind w:left="1636" w:hanging="360"/>
      </w:pPr>
      <w:rPr>
        <w:rFonts w:ascii="Times New Roman" w:hAnsi="Times New Roman" w:cs="Times New Roman" w:hint="default"/>
        <w:b/>
        <w:color w:val="auto"/>
      </w:rPr>
    </w:lvl>
    <w:lvl w:ilvl="1">
      <w:start w:val="1"/>
      <w:numFmt w:val="bullet"/>
      <w:lvlText w:val=""/>
      <w:lvlJc w:val="left"/>
      <w:pPr>
        <w:tabs>
          <w:tab w:val="num" w:pos="2356"/>
        </w:tabs>
        <w:ind w:left="2356" w:hanging="360"/>
      </w:pPr>
      <w:rPr>
        <w:rFonts w:ascii="Symbol" w:hAnsi="Symbol" w:hint="default"/>
        <w:b/>
        <w:color w:val="auto"/>
      </w:rPr>
    </w:lvl>
    <w:lvl w:ilvl="2">
      <w:start w:val="1"/>
      <w:numFmt w:val="lowerRoman"/>
      <w:lvlText w:val="%3."/>
      <w:lvlJc w:val="right"/>
      <w:pPr>
        <w:tabs>
          <w:tab w:val="num" w:pos="3076"/>
        </w:tabs>
        <w:ind w:left="3076" w:hanging="180"/>
      </w:pPr>
      <w:rPr>
        <w:rFonts w:cs="Times New Roman"/>
      </w:rPr>
    </w:lvl>
    <w:lvl w:ilvl="3">
      <w:start w:val="1"/>
      <w:numFmt w:val="decimal"/>
      <w:lvlText w:val="%4."/>
      <w:lvlJc w:val="left"/>
      <w:pPr>
        <w:tabs>
          <w:tab w:val="num" w:pos="3796"/>
        </w:tabs>
        <w:ind w:left="3796" w:hanging="360"/>
      </w:pPr>
      <w:rPr>
        <w:rFonts w:cs="Times New Roman"/>
      </w:rPr>
    </w:lvl>
    <w:lvl w:ilvl="4">
      <w:start w:val="1"/>
      <w:numFmt w:val="lowerLetter"/>
      <w:lvlText w:val="%5."/>
      <w:lvlJc w:val="left"/>
      <w:pPr>
        <w:tabs>
          <w:tab w:val="num" w:pos="4516"/>
        </w:tabs>
        <w:ind w:left="4516" w:hanging="360"/>
      </w:pPr>
      <w:rPr>
        <w:rFonts w:cs="Times New Roman"/>
      </w:rPr>
    </w:lvl>
    <w:lvl w:ilvl="5">
      <w:start w:val="1"/>
      <w:numFmt w:val="lowerRoman"/>
      <w:lvlText w:val="%6."/>
      <w:lvlJc w:val="right"/>
      <w:pPr>
        <w:tabs>
          <w:tab w:val="num" w:pos="5236"/>
        </w:tabs>
        <w:ind w:left="5236" w:hanging="180"/>
      </w:pPr>
      <w:rPr>
        <w:rFonts w:cs="Times New Roman"/>
      </w:rPr>
    </w:lvl>
    <w:lvl w:ilvl="6">
      <w:start w:val="1"/>
      <w:numFmt w:val="decimal"/>
      <w:lvlText w:val="%7."/>
      <w:lvlJc w:val="left"/>
      <w:pPr>
        <w:tabs>
          <w:tab w:val="num" w:pos="5956"/>
        </w:tabs>
        <w:ind w:left="5956" w:hanging="360"/>
      </w:pPr>
      <w:rPr>
        <w:rFonts w:cs="Times New Roman"/>
      </w:rPr>
    </w:lvl>
    <w:lvl w:ilvl="7">
      <w:start w:val="1"/>
      <w:numFmt w:val="lowerLetter"/>
      <w:lvlText w:val="%8."/>
      <w:lvlJc w:val="left"/>
      <w:pPr>
        <w:tabs>
          <w:tab w:val="num" w:pos="6676"/>
        </w:tabs>
        <w:ind w:left="6676" w:hanging="360"/>
      </w:pPr>
      <w:rPr>
        <w:rFonts w:cs="Times New Roman"/>
      </w:rPr>
    </w:lvl>
    <w:lvl w:ilvl="8">
      <w:start w:val="1"/>
      <w:numFmt w:val="lowerRoman"/>
      <w:lvlText w:val="%9."/>
      <w:lvlJc w:val="right"/>
      <w:pPr>
        <w:tabs>
          <w:tab w:val="num" w:pos="7396"/>
        </w:tabs>
        <w:ind w:left="7396" w:hanging="180"/>
      </w:pPr>
      <w:rPr>
        <w:rFonts w:cs="Times New Roman"/>
      </w:rPr>
    </w:lvl>
  </w:abstractNum>
  <w:abstractNum w:abstractNumId="11">
    <w:nsid w:val="5D54348B"/>
    <w:multiLevelType w:val="multilevel"/>
    <w:tmpl w:val="1C02D5FC"/>
    <w:lvl w:ilvl="0">
      <w:start w:val="1"/>
      <w:numFmt w:val="lowerLetter"/>
      <w:lvlText w:val="%1)"/>
      <w:lvlJc w:val="left"/>
      <w:pPr>
        <w:tabs>
          <w:tab w:val="num" w:pos="1636"/>
        </w:tabs>
        <w:ind w:left="1636" w:hanging="360"/>
      </w:pPr>
      <w:rPr>
        <w:rFonts w:ascii="Times New Roman" w:hAnsi="Times New Roman" w:cs="Times New Roman" w:hint="default"/>
        <w:b/>
        <w:color w:val="auto"/>
      </w:rPr>
    </w:lvl>
    <w:lvl w:ilvl="1">
      <w:start w:val="1"/>
      <w:numFmt w:val="bullet"/>
      <w:lvlText w:val=""/>
      <w:lvlJc w:val="left"/>
      <w:pPr>
        <w:tabs>
          <w:tab w:val="num" w:pos="2356"/>
        </w:tabs>
        <w:ind w:left="2356" w:hanging="360"/>
      </w:pPr>
      <w:rPr>
        <w:rFonts w:ascii="Symbol" w:hAnsi="Symbol" w:hint="default"/>
        <w:b/>
        <w:color w:val="auto"/>
      </w:rPr>
    </w:lvl>
    <w:lvl w:ilvl="2">
      <w:start w:val="1"/>
      <w:numFmt w:val="lowerRoman"/>
      <w:lvlText w:val="%3."/>
      <w:lvlJc w:val="right"/>
      <w:pPr>
        <w:tabs>
          <w:tab w:val="num" w:pos="3076"/>
        </w:tabs>
        <w:ind w:left="3076" w:hanging="180"/>
      </w:pPr>
      <w:rPr>
        <w:rFonts w:cs="Times New Roman"/>
      </w:rPr>
    </w:lvl>
    <w:lvl w:ilvl="3">
      <w:start w:val="1"/>
      <w:numFmt w:val="decimal"/>
      <w:lvlText w:val="%4."/>
      <w:lvlJc w:val="left"/>
      <w:pPr>
        <w:tabs>
          <w:tab w:val="num" w:pos="3796"/>
        </w:tabs>
        <w:ind w:left="3796" w:hanging="360"/>
      </w:pPr>
      <w:rPr>
        <w:rFonts w:cs="Times New Roman"/>
      </w:rPr>
    </w:lvl>
    <w:lvl w:ilvl="4">
      <w:start w:val="1"/>
      <w:numFmt w:val="lowerLetter"/>
      <w:lvlText w:val="%5."/>
      <w:lvlJc w:val="left"/>
      <w:pPr>
        <w:tabs>
          <w:tab w:val="num" w:pos="4516"/>
        </w:tabs>
        <w:ind w:left="4516" w:hanging="360"/>
      </w:pPr>
      <w:rPr>
        <w:rFonts w:cs="Times New Roman"/>
      </w:rPr>
    </w:lvl>
    <w:lvl w:ilvl="5">
      <w:start w:val="1"/>
      <w:numFmt w:val="lowerRoman"/>
      <w:lvlText w:val="%6."/>
      <w:lvlJc w:val="right"/>
      <w:pPr>
        <w:tabs>
          <w:tab w:val="num" w:pos="5236"/>
        </w:tabs>
        <w:ind w:left="5236" w:hanging="180"/>
      </w:pPr>
      <w:rPr>
        <w:rFonts w:cs="Times New Roman"/>
      </w:rPr>
    </w:lvl>
    <w:lvl w:ilvl="6">
      <w:start w:val="1"/>
      <w:numFmt w:val="decimal"/>
      <w:lvlText w:val="%7."/>
      <w:lvlJc w:val="left"/>
      <w:pPr>
        <w:tabs>
          <w:tab w:val="num" w:pos="5956"/>
        </w:tabs>
        <w:ind w:left="5956" w:hanging="360"/>
      </w:pPr>
      <w:rPr>
        <w:rFonts w:cs="Times New Roman"/>
      </w:rPr>
    </w:lvl>
    <w:lvl w:ilvl="7">
      <w:start w:val="1"/>
      <w:numFmt w:val="lowerLetter"/>
      <w:lvlText w:val="%8."/>
      <w:lvlJc w:val="left"/>
      <w:pPr>
        <w:tabs>
          <w:tab w:val="num" w:pos="6676"/>
        </w:tabs>
        <w:ind w:left="6676" w:hanging="360"/>
      </w:pPr>
      <w:rPr>
        <w:rFonts w:cs="Times New Roman"/>
      </w:rPr>
    </w:lvl>
    <w:lvl w:ilvl="8">
      <w:start w:val="1"/>
      <w:numFmt w:val="lowerRoman"/>
      <w:lvlText w:val="%9."/>
      <w:lvlJc w:val="right"/>
      <w:pPr>
        <w:tabs>
          <w:tab w:val="num" w:pos="7396"/>
        </w:tabs>
        <w:ind w:left="7396" w:hanging="180"/>
      </w:pPr>
      <w:rPr>
        <w:rFonts w:cs="Times New Roman"/>
      </w:rPr>
    </w:lvl>
  </w:abstractNum>
  <w:abstractNum w:abstractNumId="12">
    <w:nsid w:val="7C425067"/>
    <w:multiLevelType w:val="hybridMultilevel"/>
    <w:tmpl w:val="808E5540"/>
    <w:lvl w:ilvl="0" w:tplc="30CC51B4">
      <w:start w:val="2"/>
      <w:numFmt w:val="lowerLetter"/>
      <w:lvlText w:val="%1)"/>
      <w:lvlJc w:val="left"/>
      <w:pPr>
        <w:tabs>
          <w:tab w:val="num" w:pos="1636"/>
        </w:tabs>
        <w:ind w:left="1636" w:hanging="360"/>
      </w:pPr>
      <w:rPr>
        <w:rFonts w:ascii="Times New Roman" w:hAnsi="Times New Roman" w:cs="Times New Roman" w:hint="default"/>
        <w:b/>
        <w:color w:val="auto"/>
      </w:rPr>
    </w:lvl>
    <w:lvl w:ilvl="1" w:tplc="04100003">
      <w:start w:val="1"/>
      <w:numFmt w:val="bullet"/>
      <w:lvlText w:val="o"/>
      <w:lvlJc w:val="left"/>
      <w:pPr>
        <w:tabs>
          <w:tab w:val="num" w:pos="1440"/>
        </w:tabs>
        <w:ind w:left="1440" w:hanging="360"/>
      </w:pPr>
      <w:rPr>
        <w:rFonts w:ascii="Courier New" w:hAnsi="Courier New" w:hint="default"/>
        <w:b/>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0"/>
  </w:num>
  <w:num w:numId="4">
    <w:abstractNumId w:val="7"/>
  </w:num>
  <w:num w:numId="5">
    <w:abstractNumId w:val="3"/>
  </w:num>
  <w:num w:numId="6">
    <w:abstractNumId w:val="8"/>
  </w:num>
  <w:num w:numId="7">
    <w:abstractNumId w:val="6"/>
  </w:num>
  <w:num w:numId="8">
    <w:abstractNumId w:val="10"/>
  </w:num>
  <w:num w:numId="9">
    <w:abstractNumId w:val="11"/>
  </w:num>
  <w:num w:numId="10">
    <w:abstractNumId w:val="12"/>
  </w:num>
  <w:num w:numId="11">
    <w:abstractNumId w:val="2"/>
  </w:num>
  <w:num w:numId="12">
    <w:abstractNumId w:val="9"/>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BA"/>
    <w:rsid w:val="0000722C"/>
    <w:rsid w:val="00073FEA"/>
    <w:rsid w:val="00125DE2"/>
    <w:rsid w:val="001B4E7D"/>
    <w:rsid w:val="0020423A"/>
    <w:rsid w:val="002114EA"/>
    <w:rsid w:val="00284BA6"/>
    <w:rsid w:val="002E6B25"/>
    <w:rsid w:val="002F5833"/>
    <w:rsid w:val="003006B0"/>
    <w:rsid w:val="00332953"/>
    <w:rsid w:val="00433DCF"/>
    <w:rsid w:val="004B468E"/>
    <w:rsid w:val="004E62D0"/>
    <w:rsid w:val="005840D5"/>
    <w:rsid w:val="0060780D"/>
    <w:rsid w:val="00623525"/>
    <w:rsid w:val="006825E4"/>
    <w:rsid w:val="006830CD"/>
    <w:rsid w:val="006B57D3"/>
    <w:rsid w:val="006D1FAB"/>
    <w:rsid w:val="006F744A"/>
    <w:rsid w:val="00737784"/>
    <w:rsid w:val="00766732"/>
    <w:rsid w:val="00777BFB"/>
    <w:rsid w:val="007974DD"/>
    <w:rsid w:val="007A6DB5"/>
    <w:rsid w:val="007E057F"/>
    <w:rsid w:val="00820A8E"/>
    <w:rsid w:val="008A7AF8"/>
    <w:rsid w:val="008B26B0"/>
    <w:rsid w:val="00944456"/>
    <w:rsid w:val="00945AF5"/>
    <w:rsid w:val="00960C30"/>
    <w:rsid w:val="00961764"/>
    <w:rsid w:val="00B01210"/>
    <w:rsid w:val="00B862F5"/>
    <w:rsid w:val="00C079CC"/>
    <w:rsid w:val="00C158E4"/>
    <w:rsid w:val="00C6676D"/>
    <w:rsid w:val="00C82B5D"/>
    <w:rsid w:val="00C84245"/>
    <w:rsid w:val="00C91A8C"/>
    <w:rsid w:val="00D43C8E"/>
    <w:rsid w:val="00F35035"/>
    <w:rsid w:val="00F54AC2"/>
    <w:rsid w:val="00F650F0"/>
    <w:rsid w:val="00FB1CAA"/>
    <w:rsid w:val="00FF3C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4EA"/>
    <w:rPr>
      <w:rFonts w:eastAsia="SimSun"/>
      <w:sz w:val="24"/>
      <w:szCs w:val="24"/>
      <w:lang w:eastAsia="zh-CN"/>
    </w:rPr>
  </w:style>
  <w:style w:type="paragraph" w:styleId="Titolo1">
    <w:name w:val="heading 1"/>
    <w:basedOn w:val="Normale"/>
    <w:next w:val="Normale"/>
    <w:link w:val="Titolo1Carattere"/>
    <w:uiPriority w:val="99"/>
    <w:qFormat/>
    <w:rsid w:val="002114EA"/>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114EA"/>
    <w:rPr>
      <w:rFonts w:ascii="Cambria" w:hAnsi="Cambria" w:cs="Times New Roman"/>
      <w:b/>
      <w:bCs/>
      <w:kern w:val="32"/>
      <w:sz w:val="32"/>
      <w:szCs w:val="32"/>
      <w:lang w:eastAsia="zh-CN"/>
    </w:rPr>
  </w:style>
  <w:style w:type="paragraph" w:styleId="Testofumetto">
    <w:name w:val="Balloon Text"/>
    <w:basedOn w:val="Normale"/>
    <w:link w:val="TestofumettoCarattere"/>
    <w:uiPriority w:val="99"/>
    <w:semiHidden/>
    <w:rsid w:val="002114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114EA"/>
    <w:rPr>
      <w:rFonts w:ascii="Tahoma" w:eastAsia="SimSun" w:hAnsi="Tahoma" w:cs="Tahoma"/>
      <w:sz w:val="16"/>
      <w:szCs w:val="16"/>
      <w:lang w:eastAsia="zh-CN"/>
    </w:rPr>
  </w:style>
  <w:style w:type="paragraph" w:customStyle="1" w:styleId="Default">
    <w:name w:val="Default"/>
    <w:uiPriority w:val="99"/>
    <w:rsid w:val="002114EA"/>
    <w:pPr>
      <w:autoSpaceDE w:val="0"/>
      <w:autoSpaceDN w:val="0"/>
      <w:adjustRightInd w:val="0"/>
    </w:pPr>
    <w:rPr>
      <w:color w:val="000000"/>
      <w:sz w:val="24"/>
      <w:szCs w:val="24"/>
    </w:rPr>
  </w:style>
  <w:style w:type="paragraph" w:styleId="Pidipagina">
    <w:name w:val="footer"/>
    <w:basedOn w:val="Normale"/>
    <w:link w:val="PidipaginaCarattere"/>
    <w:uiPriority w:val="99"/>
    <w:rsid w:val="002114EA"/>
    <w:pPr>
      <w:tabs>
        <w:tab w:val="center" w:pos="4819"/>
        <w:tab w:val="right" w:pos="9638"/>
      </w:tabs>
    </w:pPr>
  </w:style>
  <w:style w:type="character" w:customStyle="1" w:styleId="PidipaginaCarattere">
    <w:name w:val="Piè di pagina Carattere"/>
    <w:basedOn w:val="Carpredefinitoparagrafo"/>
    <w:link w:val="Pidipagina"/>
    <w:uiPriority w:val="99"/>
    <w:locked/>
    <w:rsid w:val="002114EA"/>
    <w:rPr>
      <w:rFonts w:eastAsia="SimSun" w:cs="Times New Roman"/>
      <w:sz w:val="24"/>
      <w:szCs w:val="24"/>
      <w:lang w:eastAsia="zh-CN"/>
    </w:rPr>
  </w:style>
  <w:style w:type="paragraph" w:styleId="NormaleWeb">
    <w:name w:val="Normal (Web)"/>
    <w:basedOn w:val="Normale"/>
    <w:uiPriority w:val="99"/>
    <w:rsid w:val="002114EA"/>
    <w:pPr>
      <w:spacing w:before="100" w:beforeAutospacing="1" w:after="119"/>
    </w:pPr>
    <w:rPr>
      <w:rFonts w:eastAsia="Times New Roman"/>
      <w:lang w:eastAsia="it-IT"/>
    </w:rPr>
  </w:style>
  <w:style w:type="character" w:styleId="Collegamentoipertestuale">
    <w:name w:val="Hyperlink"/>
    <w:basedOn w:val="Carpredefinitoparagrafo"/>
    <w:uiPriority w:val="99"/>
    <w:semiHidden/>
    <w:rsid w:val="002114EA"/>
    <w:rPr>
      <w:rFonts w:cs="Times New Roman"/>
      <w:color w:val="0000FF"/>
      <w:u w:val="single"/>
    </w:rPr>
  </w:style>
  <w:style w:type="paragraph" w:styleId="Corpotesto">
    <w:name w:val="Body Text"/>
    <w:basedOn w:val="Normale"/>
    <w:link w:val="CorpotestoCarattere"/>
    <w:uiPriority w:val="99"/>
    <w:rsid w:val="002114EA"/>
    <w:pPr>
      <w:widowControl w:val="0"/>
      <w:spacing w:line="520" w:lineRule="exact"/>
      <w:jc w:val="both"/>
    </w:pPr>
    <w:rPr>
      <w:rFonts w:ascii="Courier New" w:eastAsia="Times New Roman" w:hAnsi="Courier New"/>
      <w:szCs w:val="20"/>
      <w:lang w:eastAsia="it-IT"/>
    </w:rPr>
  </w:style>
  <w:style w:type="character" w:customStyle="1" w:styleId="CorpotestoCarattere">
    <w:name w:val="Corpo testo Carattere"/>
    <w:basedOn w:val="Carpredefinitoparagrafo"/>
    <w:link w:val="Corpotesto"/>
    <w:uiPriority w:val="99"/>
    <w:locked/>
    <w:rsid w:val="002114EA"/>
    <w:rPr>
      <w:rFonts w:ascii="Courier New" w:hAnsi="Courier New" w:cs="Times New Roman"/>
      <w:sz w:val="24"/>
    </w:rPr>
  </w:style>
  <w:style w:type="paragraph" w:styleId="Paragrafoelenco">
    <w:name w:val="List Paragraph"/>
    <w:basedOn w:val="Normale"/>
    <w:uiPriority w:val="99"/>
    <w:qFormat/>
    <w:rsid w:val="002114EA"/>
    <w:pPr>
      <w:ind w:left="708"/>
    </w:pPr>
  </w:style>
  <w:style w:type="paragraph" w:styleId="Intestazione">
    <w:name w:val="header"/>
    <w:basedOn w:val="Normale"/>
    <w:link w:val="IntestazioneCarattere"/>
    <w:uiPriority w:val="99"/>
    <w:semiHidden/>
    <w:rsid w:val="002114E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114EA"/>
    <w:rPr>
      <w:rFonts w:eastAsia="SimSun" w:cs="Times New Roman"/>
      <w:sz w:val="24"/>
      <w:szCs w:val="24"/>
      <w:lang w:eastAsia="zh-CN"/>
    </w:rPr>
  </w:style>
  <w:style w:type="table" w:styleId="Grigliatabella">
    <w:name w:val="Table Grid"/>
    <w:basedOn w:val="Tabellanormale"/>
    <w:uiPriority w:val="99"/>
    <w:rsid w:val="00211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tf1NormalTable">
    <w:name w:val="rtf1 Normal Table"/>
    <w:uiPriority w:val="99"/>
    <w:semiHidden/>
    <w:unhideWhenUsed/>
    <w:qFormat/>
    <w:rsid w:val="00433DCF"/>
    <w:pPr>
      <w:spacing w:after="200" w:line="276" w:lineRule="auto"/>
    </w:pPr>
    <w:rPr>
      <w:rFonts w:ascii="Calibri" w:hAnsi="Calibri"/>
      <w:sz w:val="22"/>
      <w:szCs w:val="22"/>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4EA"/>
    <w:rPr>
      <w:rFonts w:eastAsia="SimSun"/>
      <w:sz w:val="24"/>
      <w:szCs w:val="24"/>
      <w:lang w:eastAsia="zh-CN"/>
    </w:rPr>
  </w:style>
  <w:style w:type="paragraph" w:styleId="Titolo1">
    <w:name w:val="heading 1"/>
    <w:basedOn w:val="Normale"/>
    <w:next w:val="Normale"/>
    <w:link w:val="Titolo1Carattere"/>
    <w:uiPriority w:val="99"/>
    <w:qFormat/>
    <w:rsid w:val="002114EA"/>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114EA"/>
    <w:rPr>
      <w:rFonts w:ascii="Cambria" w:hAnsi="Cambria" w:cs="Times New Roman"/>
      <w:b/>
      <w:bCs/>
      <w:kern w:val="32"/>
      <w:sz w:val="32"/>
      <w:szCs w:val="32"/>
      <w:lang w:eastAsia="zh-CN"/>
    </w:rPr>
  </w:style>
  <w:style w:type="paragraph" w:styleId="Testofumetto">
    <w:name w:val="Balloon Text"/>
    <w:basedOn w:val="Normale"/>
    <w:link w:val="TestofumettoCarattere"/>
    <w:uiPriority w:val="99"/>
    <w:semiHidden/>
    <w:rsid w:val="002114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114EA"/>
    <w:rPr>
      <w:rFonts w:ascii="Tahoma" w:eastAsia="SimSun" w:hAnsi="Tahoma" w:cs="Tahoma"/>
      <w:sz w:val="16"/>
      <w:szCs w:val="16"/>
      <w:lang w:eastAsia="zh-CN"/>
    </w:rPr>
  </w:style>
  <w:style w:type="paragraph" w:customStyle="1" w:styleId="Default">
    <w:name w:val="Default"/>
    <w:uiPriority w:val="99"/>
    <w:rsid w:val="002114EA"/>
    <w:pPr>
      <w:autoSpaceDE w:val="0"/>
      <w:autoSpaceDN w:val="0"/>
      <w:adjustRightInd w:val="0"/>
    </w:pPr>
    <w:rPr>
      <w:color w:val="000000"/>
      <w:sz w:val="24"/>
      <w:szCs w:val="24"/>
    </w:rPr>
  </w:style>
  <w:style w:type="paragraph" w:styleId="Pidipagina">
    <w:name w:val="footer"/>
    <w:basedOn w:val="Normale"/>
    <w:link w:val="PidipaginaCarattere"/>
    <w:uiPriority w:val="99"/>
    <w:rsid w:val="002114EA"/>
    <w:pPr>
      <w:tabs>
        <w:tab w:val="center" w:pos="4819"/>
        <w:tab w:val="right" w:pos="9638"/>
      </w:tabs>
    </w:pPr>
  </w:style>
  <w:style w:type="character" w:customStyle="1" w:styleId="PidipaginaCarattere">
    <w:name w:val="Piè di pagina Carattere"/>
    <w:basedOn w:val="Carpredefinitoparagrafo"/>
    <w:link w:val="Pidipagina"/>
    <w:uiPriority w:val="99"/>
    <w:locked/>
    <w:rsid w:val="002114EA"/>
    <w:rPr>
      <w:rFonts w:eastAsia="SimSun" w:cs="Times New Roman"/>
      <w:sz w:val="24"/>
      <w:szCs w:val="24"/>
      <w:lang w:eastAsia="zh-CN"/>
    </w:rPr>
  </w:style>
  <w:style w:type="paragraph" w:styleId="NormaleWeb">
    <w:name w:val="Normal (Web)"/>
    <w:basedOn w:val="Normale"/>
    <w:uiPriority w:val="99"/>
    <w:rsid w:val="002114EA"/>
    <w:pPr>
      <w:spacing w:before="100" w:beforeAutospacing="1" w:after="119"/>
    </w:pPr>
    <w:rPr>
      <w:rFonts w:eastAsia="Times New Roman"/>
      <w:lang w:eastAsia="it-IT"/>
    </w:rPr>
  </w:style>
  <w:style w:type="character" w:styleId="Collegamentoipertestuale">
    <w:name w:val="Hyperlink"/>
    <w:basedOn w:val="Carpredefinitoparagrafo"/>
    <w:uiPriority w:val="99"/>
    <w:semiHidden/>
    <w:rsid w:val="002114EA"/>
    <w:rPr>
      <w:rFonts w:cs="Times New Roman"/>
      <w:color w:val="0000FF"/>
      <w:u w:val="single"/>
    </w:rPr>
  </w:style>
  <w:style w:type="paragraph" w:styleId="Corpotesto">
    <w:name w:val="Body Text"/>
    <w:basedOn w:val="Normale"/>
    <w:link w:val="CorpotestoCarattere"/>
    <w:uiPriority w:val="99"/>
    <w:rsid w:val="002114EA"/>
    <w:pPr>
      <w:widowControl w:val="0"/>
      <w:spacing w:line="520" w:lineRule="exact"/>
      <w:jc w:val="both"/>
    </w:pPr>
    <w:rPr>
      <w:rFonts w:ascii="Courier New" w:eastAsia="Times New Roman" w:hAnsi="Courier New"/>
      <w:szCs w:val="20"/>
      <w:lang w:eastAsia="it-IT"/>
    </w:rPr>
  </w:style>
  <w:style w:type="character" w:customStyle="1" w:styleId="CorpotestoCarattere">
    <w:name w:val="Corpo testo Carattere"/>
    <w:basedOn w:val="Carpredefinitoparagrafo"/>
    <w:link w:val="Corpotesto"/>
    <w:uiPriority w:val="99"/>
    <w:locked/>
    <w:rsid w:val="002114EA"/>
    <w:rPr>
      <w:rFonts w:ascii="Courier New" w:hAnsi="Courier New" w:cs="Times New Roman"/>
      <w:sz w:val="24"/>
    </w:rPr>
  </w:style>
  <w:style w:type="paragraph" w:styleId="Paragrafoelenco">
    <w:name w:val="List Paragraph"/>
    <w:basedOn w:val="Normale"/>
    <w:uiPriority w:val="99"/>
    <w:qFormat/>
    <w:rsid w:val="002114EA"/>
    <w:pPr>
      <w:ind w:left="708"/>
    </w:pPr>
  </w:style>
  <w:style w:type="paragraph" w:styleId="Intestazione">
    <w:name w:val="header"/>
    <w:basedOn w:val="Normale"/>
    <w:link w:val="IntestazioneCarattere"/>
    <w:uiPriority w:val="99"/>
    <w:semiHidden/>
    <w:rsid w:val="002114E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114EA"/>
    <w:rPr>
      <w:rFonts w:eastAsia="SimSun" w:cs="Times New Roman"/>
      <w:sz w:val="24"/>
      <w:szCs w:val="24"/>
      <w:lang w:eastAsia="zh-CN"/>
    </w:rPr>
  </w:style>
  <w:style w:type="table" w:styleId="Grigliatabella">
    <w:name w:val="Table Grid"/>
    <w:basedOn w:val="Tabellanormale"/>
    <w:uiPriority w:val="99"/>
    <w:rsid w:val="00211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tf1NormalTable">
    <w:name w:val="rtf1 Normal Table"/>
    <w:uiPriority w:val="99"/>
    <w:semiHidden/>
    <w:unhideWhenUsed/>
    <w:qFormat/>
    <w:rsid w:val="00433DCF"/>
    <w:pPr>
      <w:spacing w:after="200" w:line="276" w:lineRule="auto"/>
    </w:pPr>
    <w:rPr>
      <w:rFonts w:ascii="Calibri" w:hAnsi="Calibri"/>
      <w:sz w:val="22"/>
      <w:szCs w:val="22"/>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66245">
      <w:marLeft w:val="0"/>
      <w:marRight w:val="0"/>
      <w:marTop w:val="0"/>
      <w:marBottom w:val="0"/>
      <w:divBdr>
        <w:top w:val="none" w:sz="0" w:space="0" w:color="auto"/>
        <w:left w:val="none" w:sz="0" w:space="0" w:color="auto"/>
        <w:bottom w:val="none" w:sz="0" w:space="0" w:color="auto"/>
        <w:right w:val="none" w:sz="0" w:space="0" w:color="auto"/>
      </w:divBdr>
    </w:div>
    <w:div w:id="2058966247">
      <w:marLeft w:val="0"/>
      <w:marRight w:val="0"/>
      <w:marTop w:val="0"/>
      <w:marBottom w:val="0"/>
      <w:divBdr>
        <w:top w:val="none" w:sz="0" w:space="0" w:color="auto"/>
        <w:left w:val="none" w:sz="0" w:space="0" w:color="auto"/>
        <w:bottom w:val="none" w:sz="0" w:space="0" w:color="auto"/>
        <w:right w:val="none" w:sz="0" w:space="0" w:color="auto"/>
      </w:divBdr>
    </w:div>
    <w:div w:id="2058966251">
      <w:marLeft w:val="0"/>
      <w:marRight w:val="0"/>
      <w:marTop w:val="0"/>
      <w:marBottom w:val="0"/>
      <w:divBdr>
        <w:top w:val="none" w:sz="0" w:space="0" w:color="auto"/>
        <w:left w:val="none" w:sz="0" w:space="0" w:color="auto"/>
        <w:bottom w:val="none" w:sz="0" w:space="0" w:color="auto"/>
        <w:right w:val="none" w:sz="0" w:space="0" w:color="auto"/>
      </w:divBdr>
    </w:div>
    <w:div w:id="2058966252">
      <w:marLeft w:val="0"/>
      <w:marRight w:val="0"/>
      <w:marTop w:val="0"/>
      <w:marBottom w:val="0"/>
      <w:divBdr>
        <w:top w:val="none" w:sz="0" w:space="0" w:color="auto"/>
        <w:left w:val="none" w:sz="0" w:space="0" w:color="auto"/>
        <w:bottom w:val="none" w:sz="0" w:space="0" w:color="auto"/>
        <w:right w:val="none" w:sz="0" w:space="0" w:color="auto"/>
      </w:divBdr>
    </w:div>
    <w:div w:id="2058966254">
      <w:marLeft w:val="0"/>
      <w:marRight w:val="0"/>
      <w:marTop w:val="0"/>
      <w:marBottom w:val="0"/>
      <w:divBdr>
        <w:top w:val="none" w:sz="0" w:space="0" w:color="auto"/>
        <w:left w:val="none" w:sz="0" w:space="0" w:color="auto"/>
        <w:bottom w:val="none" w:sz="0" w:space="0" w:color="auto"/>
        <w:right w:val="none" w:sz="0" w:space="0" w:color="auto"/>
      </w:divBdr>
    </w:div>
    <w:div w:id="2058966258">
      <w:marLeft w:val="0"/>
      <w:marRight w:val="0"/>
      <w:marTop w:val="0"/>
      <w:marBottom w:val="0"/>
      <w:divBdr>
        <w:top w:val="none" w:sz="0" w:space="0" w:color="auto"/>
        <w:left w:val="none" w:sz="0" w:space="0" w:color="auto"/>
        <w:bottom w:val="none" w:sz="0" w:space="0" w:color="auto"/>
        <w:right w:val="none" w:sz="0" w:space="0" w:color="auto"/>
      </w:divBdr>
    </w:div>
    <w:div w:id="2058966259">
      <w:marLeft w:val="0"/>
      <w:marRight w:val="0"/>
      <w:marTop w:val="0"/>
      <w:marBottom w:val="0"/>
      <w:divBdr>
        <w:top w:val="none" w:sz="0" w:space="0" w:color="auto"/>
        <w:left w:val="none" w:sz="0" w:space="0" w:color="auto"/>
        <w:bottom w:val="none" w:sz="0" w:space="0" w:color="auto"/>
        <w:right w:val="none" w:sz="0" w:space="0" w:color="auto"/>
      </w:divBdr>
    </w:div>
    <w:div w:id="2058966262">
      <w:marLeft w:val="0"/>
      <w:marRight w:val="0"/>
      <w:marTop w:val="0"/>
      <w:marBottom w:val="0"/>
      <w:divBdr>
        <w:top w:val="none" w:sz="0" w:space="0" w:color="auto"/>
        <w:left w:val="none" w:sz="0" w:space="0" w:color="auto"/>
        <w:bottom w:val="none" w:sz="0" w:space="0" w:color="auto"/>
        <w:right w:val="none" w:sz="0" w:space="0" w:color="auto"/>
      </w:divBdr>
    </w:div>
    <w:div w:id="2058966265">
      <w:marLeft w:val="0"/>
      <w:marRight w:val="0"/>
      <w:marTop w:val="0"/>
      <w:marBottom w:val="0"/>
      <w:divBdr>
        <w:top w:val="none" w:sz="0" w:space="0" w:color="auto"/>
        <w:left w:val="none" w:sz="0" w:space="0" w:color="auto"/>
        <w:bottom w:val="none" w:sz="0" w:space="0" w:color="auto"/>
        <w:right w:val="none" w:sz="0" w:space="0" w:color="auto"/>
      </w:divBdr>
    </w:div>
    <w:div w:id="2058966266">
      <w:marLeft w:val="0"/>
      <w:marRight w:val="0"/>
      <w:marTop w:val="0"/>
      <w:marBottom w:val="0"/>
      <w:divBdr>
        <w:top w:val="none" w:sz="0" w:space="0" w:color="auto"/>
        <w:left w:val="none" w:sz="0" w:space="0" w:color="auto"/>
        <w:bottom w:val="none" w:sz="0" w:space="0" w:color="auto"/>
        <w:right w:val="none" w:sz="0" w:space="0" w:color="auto"/>
      </w:divBdr>
      <w:divsChild>
        <w:div w:id="2058966284">
          <w:marLeft w:val="0"/>
          <w:marRight w:val="0"/>
          <w:marTop w:val="0"/>
          <w:marBottom w:val="0"/>
          <w:divBdr>
            <w:top w:val="none" w:sz="0" w:space="0" w:color="auto"/>
            <w:left w:val="none" w:sz="0" w:space="0" w:color="auto"/>
            <w:bottom w:val="none" w:sz="0" w:space="0" w:color="auto"/>
            <w:right w:val="none" w:sz="0" w:space="0" w:color="auto"/>
          </w:divBdr>
        </w:div>
      </w:divsChild>
    </w:div>
    <w:div w:id="2058966267">
      <w:marLeft w:val="0"/>
      <w:marRight w:val="0"/>
      <w:marTop w:val="0"/>
      <w:marBottom w:val="0"/>
      <w:divBdr>
        <w:top w:val="none" w:sz="0" w:space="0" w:color="auto"/>
        <w:left w:val="none" w:sz="0" w:space="0" w:color="auto"/>
        <w:bottom w:val="none" w:sz="0" w:space="0" w:color="auto"/>
        <w:right w:val="none" w:sz="0" w:space="0" w:color="auto"/>
      </w:divBdr>
    </w:div>
    <w:div w:id="2058966269">
      <w:marLeft w:val="0"/>
      <w:marRight w:val="0"/>
      <w:marTop w:val="0"/>
      <w:marBottom w:val="0"/>
      <w:divBdr>
        <w:top w:val="none" w:sz="0" w:space="0" w:color="auto"/>
        <w:left w:val="none" w:sz="0" w:space="0" w:color="auto"/>
        <w:bottom w:val="none" w:sz="0" w:space="0" w:color="auto"/>
        <w:right w:val="none" w:sz="0" w:space="0" w:color="auto"/>
      </w:divBdr>
    </w:div>
    <w:div w:id="2058966274">
      <w:marLeft w:val="0"/>
      <w:marRight w:val="0"/>
      <w:marTop w:val="0"/>
      <w:marBottom w:val="0"/>
      <w:divBdr>
        <w:top w:val="none" w:sz="0" w:space="0" w:color="auto"/>
        <w:left w:val="none" w:sz="0" w:space="0" w:color="auto"/>
        <w:bottom w:val="none" w:sz="0" w:space="0" w:color="auto"/>
        <w:right w:val="none" w:sz="0" w:space="0" w:color="auto"/>
      </w:divBdr>
    </w:div>
    <w:div w:id="2058966275">
      <w:marLeft w:val="0"/>
      <w:marRight w:val="0"/>
      <w:marTop w:val="0"/>
      <w:marBottom w:val="0"/>
      <w:divBdr>
        <w:top w:val="none" w:sz="0" w:space="0" w:color="auto"/>
        <w:left w:val="none" w:sz="0" w:space="0" w:color="auto"/>
        <w:bottom w:val="none" w:sz="0" w:space="0" w:color="auto"/>
        <w:right w:val="none" w:sz="0" w:space="0" w:color="auto"/>
      </w:divBdr>
    </w:div>
    <w:div w:id="2058966276">
      <w:marLeft w:val="0"/>
      <w:marRight w:val="0"/>
      <w:marTop w:val="0"/>
      <w:marBottom w:val="0"/>
      <w:divBdr>
        <w:top w:val="none" w:sz="0" w:space="0" w:color="auto"/>
        <w:left w:val="none" w:sz="0" w:space="0" w:color="auto"/>
        <w:bottom w:val="none" w:sz="0" w:space="0" w:color="auto"/>
        <w:right w:val="none" w:sz="0" w:space="0" w:color="auto"/>
      </w:divBdr>
      <w:divsChild>
        <w:div w:id="2058966270">
          <w:marLeft w:val="0"/>
          <w:marRight w:val="0"/>
          <w:marTop w:val="0"/>
          <w:marBottom w:val="0"/>
          <w:divBdr>
            <w:top w:val="none" w:sz="0" w:space="0" w:color="auto"/>
            <w:left w:val="none" w:sz="0" w:space="0" w:color="auto"/>
            <w:bottom w:val="none" w:sz="0" w:space="0" w:color="auto"/>
            <w:right w:val="none" w:sz="0" w:space="0" w:color="auto"/>
          </w:divBdr>
          <w:divsChild>
            <w:div w:id="2058966279">
              <w:marLeft w:val="120"/>
              <w:marRight w:val="120"/>
              <w:marTop w:val="0"/>
              <w:marBottom w:val="0"/>
              <w:divBdr>
                <w:top w:val="none" w:sz="0" w:space="0" w:color="auto"/>
                <w:left w:val="none" w:sz="0" w:space="0" w:color="auto"/>
                <w:bottom w:val="none" w:sz="0" w:space="0" w:color="auto"/>
                <w:right w:val="none" w:sz="0" w:space="0" w:color="auto"/>
              </w:divBdr>
              <w:divsChild>
                <w:div w:id="2058966288">
                  <w:marLeft w:val="0"/>
                  <w:marRight w:val="0"/>
                  <w:marTop w:val="0"/>
                  <w:marBottom w:val="0"/>
                  <w:divBdr>
                    <w:top w:val="none" w:sz="0" w:space="0" w:color="auto"/>
                    <w:left w:val="none" w:sz="0" w:space="0" w:color="auto"/>
                    <w:bottom w:val="none" w:sz="0" w:space="0" w:color="auto"/>
                    <w:right w:val="none" w:sz="0" w:space="0" w:color="auto"/>
                  </w:divBdr>
                  <w:divsChild>
                    <w:div w:id="2058966256">
                      <w:marLeft w:val="0"/>
                      <w:marRight w:val="0"/>
                      <w:marTop w:val="0"/>
                      <w:marBottom w:val="0"/>
                      <w:divBdr>
                        <w:top w:val="single" w:sz="6" w:space="0" w:color="D7D7D7"/>
                        <w:left w:val="single" w:sz="6" w:space="0" w:color="D7D7D7"/>
                        <w:bottom w:val="single" w:sz="6" w:space="0" w:color="D7D7D7"/>
                        <w:right w:val="single" w:sz="6" w:space="0" w:color="D7D7D7"/>
                      </w:divBdr>
                      <w:divsChild>
                        <w:div w:id="2058966249">
                          <w:marLeft w:val="0"/>
                          <w:marRight w:val="0"/>
                          <w:marTop w:val="0"/>
                          <w:marBottom w:val="0"/>
                          <w:divBdr>
                            <w:top w:val="none" w:sz="0" w:space="0" w:color="auto"/>
                            <w:left w:val="none" w:sz="0" w:space="0" w:color="auto"/>
                            <w:bottom w:val="none" w:sz="0" w:space="0" w:color="auto"/>
                            <w:right w:val="none" w:sz="0" w:space="0" w:color="auto"/>
                          </w:divBdr>
                          <w:divsChild>
                            <w:div w:id="2058966290">
                              <w:marLeft w:val="0"/>
                              <w:marRight w:val="0"/>
                              <w:marTop w:val="0"/>
                              <w:marBottom w:val="0"/>
                              <w:divBdr>
                                <w:top w:val="none" w:sz="0" w:space="0" w:color="auto"/>
                                <w:left w:val="none" w:sz="0" w:space="0" w:color="auto"/>
                                <w:bottom w:val="none" w:sz="0" w:space="0" w:color="auto"/>
                                <w:right w:val="none" w:sz="0" w:space="0" w:color="auto"/>
                              </w:divBdr>
                              <w:divsChild>
                                <w:div w:id="2058966273">
                                  <w:marLeft w:val="0"/>
                                  <w:marRight w:val="0"/>
                                  <w:marTop w:val="0"/>
                                  <w:marBottom w:val="0"/>
                                  <w:divBdr>
                                    <w:top w:val="none" w:sz="0" w:space="0" w:color="auto"/>
                                    <w:left w:val="none" w:sz="0" w:space="0" w:color="auto"/>
                                    <w:bottom w:val="none" w:sz="0" w:space="0" w:color="auto"/>
                                    <w:right w:val="none" w:sz="0" w:space="0" w:color="auto"/>
                                  </w:divBdr>
                                  <w:divsChild>
                                    <w:div w:id="2058966277">
                                      <w:marLeft w:val="0"/>
                                      <w:marRight w:val="0"/>
                                      <w:marTop w:val="0"/>
                                      <w:marBottom w:val="0"/>
                                      <w:divBdr>
                                        <w:top w:val="none" w:sz="0" w:space="0" w:color="auto"/>
                                        <w:left w:val="none" w:sz="0" w:space="0" w:color="auto"/>
                                        <w:bottom w:val="none" w:sz="0" w:space="0" w:color="auto"/>
                                        <w:right w:val="none" w:sz="0" w:space="0" w:color="auto"/>
                                      </w:divBdr>
                                      <w:divsChild>
                                        <w:div w:id="2058966246">
                                          <w:marLeft w:val="0"/>
                                          <w:marRight w:val="0"/>
                                          <w:marTop w:val="0"/>
                                          <w:marBottom w:val="0"/>
                                          <w:divBdr>
                                            <w:top w:val="none" w:sz="0" w:space="0" w:color="auto"/>
                                            <w:left w:val="none" w:sz="0" w:space="0" w:color="auto"/>
                                            <w:bottom w:val="none" w:sz="0" w:space="0" w:color="auto"/>
                                            <w:right w:val="none" w:sz="0" w:space="0" w:color="auto"/>
                                          </w:divBdr>
                                          <w:divsChild>
                                            <w:div w:id="2058966289">
                                              <w:marLeft w:val="0"/>
                                              <w:marRight w:val="0"/>
                                              <w:marTop w:val="0"/>
                                              <w:marBottom w:val="0"/>
                                              <w:divBdr>
                                                <w:top w:val="none" w:sz="0" w:space="0" w:color="auto"/>
                                                <w:left w:val="none" w:sz="0" w:space="0" w:color="auto"/>
                                                <w:bottom w:val="none" w:sz="0" w:space="0" w:color="auto"/>
                                                <w:right w:val="none" w:sz="0" w:space="0" w:color="auto"/>
                                              </w:divBdr>
                                              <w:divsChild>
                                                <w:div w:id="2058966272">
                                                  <w:marLeft w:val="0"/>
                                                  <w:marRight w:val="0"/>
                                                  <w:marTop w:val="0"/>
                                                  <w:marBottom w:val="0"/>
                                                  <w:divBdr>
                                                    <w:top w:val="none" w:sz="0" w:space="0" w:color="auto"/>
                                                    <w:left w:val="none" w:sz="0" w:space="0" w:color="auto"/>
                                                    <w:bottom w:val="none" w:sz="0" w:space="0" w:color="auto"/>
                                                    <w:right w:val="none" w:sz="0" w:space="0" w:color="auto"/>
                                                  </w:divBdr>
                                                  <w:divsChild>
                                                    <w:div w:id="2058966280">
                                                      <w:marLeft w:val="0"/>
                                                      <w:marRight w:val="0"/>
                                                      <w:marTop w:val="0"/>
                                                      <w:marBottom w:val="0"/>
                                                      <w:divBdr>
                                                        <w:top w:val="none" w:sz="0" w:space="0" w:color="auto"/>
                                                        <w:left w:val="none" w:sz="0" w:space="0" w:color="auto"/>
                                                        <w:bottom w:val="none" w:sz="0" w:space="0" w:color="auto"/>
                                                        <w:right w:val="none" w:sz="0" w:space="0" w:color="auto"/>
                                                      </w:divBdr>
                                                      <w:divsChild>
                                                        <w:div w:id="2058966264">
                                                          <w:marLeft w:val="0"/>
                                                          <w:marRight w:val="0"/>
                                                          <w:marTop w:val="0"/>
                                                          <w:marBottom w:val="0"/>
                                                          <w:divBdr>
                                                            <w:top w:val="none" w:sz="0" w:space="0" w:color="auto"/>
                                                            <w:left w:val="none" w:sz="0" w:space="0" w:color="auto"/>
                                                            <w:bottom w:val="none" w:sz="0" w:space="0" w:color="auto"/>
                                                            <w:right w:val="none" w:sz="0" w:space="0" w:color="auto"/>
                                                          </w:divBdr>
                                                          <w:divsChild>
                                                            <w:div w:id="2058966268">
                                                              <w:marLeft w:val="0"/>
                                                              <w:marRight w:val="0"/>
                                                              <w:marTop w:val="0"/>
                                                              <w:marBottom w:val="0"/>
                                                              <w:divBdr>
                                                                <w:top w:val="none" w:sz="0" w:space="0" w:color="auto"/>
                                                                <w:left w:val="none" w:sz="0" w:space="0" w:color="auto"/>
                                                                <w:bottom w:val="none" w:sz="0" w:space="0" w:color="auto"/>
                                                                <w:right w:val="none" w:sz="0" w:space="0" w:color="auto"/>
                                                              </w:divBdr>
                                                              <w:divsChild>
                                                                <w:div w:id="2058966257">
                                                                  <w:marLeft w:val="0"/>
                                                                  <w:marRight w:val="0"/>
                                                                  <w:marTop w:val="0"/>
                                                                  <w:marBottom w:val="0"/>
                                                                  <w:divBdr>
                                                                    <w:top w:val="none" w:sz="0" w:space="0" w:color="auto"/>
                                                                    <w:left w:val="none" w:sz="0" w:space="0" w:color="auto"/>
                                                                    <w:bottom w:val="none" w:sz="0" w:space="0" w:color="auto"/>
                                                                    <w:right w:val="none" w:sz="0" w:space="0" w:color="auto"/>
                                                                  </w:divBdr>
                                                                  <w:divsChild>
                                                                    <w:div w:id="2058966248">
                                                                      <w:marLeft w:val="0"/>
                                                                      <w:marRight w:val="0"/>
                                                                      <w:marTop w:val="0"/>
                                                                      <w:marBottom w:val="0"/>
                                                                      <w:divBdr>
                                                                        <w:top w:val="none" w:sz="0" w:space="0" w:color="auto"/>
                                                                        <w:left w:val="none" w:sz="0" w:space="0" w:color="auto"/>
                                                                        <w:bottom w:val="none" w:sz="0" w:space="0" w:color="auto"/>
                                                                        <w:right w:val="none" w:sz="0" w:space="0" w:color="auto"/>
                                                                      </w:divBdr>
                                                                      <w:divsChild>
                                                                        <w:div w:id="2058966260">
                                                                          <w:marLeft w:val="0"/>
                                                                          <w:marRight w:val="0"/>
                                                                          <w:marTop w:val="0"/>
                                                                          <w:marBottom w:val="0"/>
                                                                          <w:divBdr>
                                                                            <w:top w:val="none" w:sz="0" w:space="0" w:color="auto"/>
                                                                            <w:left w:val="none" w:sz="0" w:space="0" w:color="auto"/>
                                                                            <w:bottom w:val="none" w:sz="0" w:space="0" w:color="auto"/>
                                                                            <w:right w:val="none" w:sz="0" w:space="0" w:color="auto"/>
                                                                          </w:divBdr>
                                                                          <w:divsChild>
                                                                            <w:div w:id="2058966271">
                                                                              <w:marLeft w:val="0"/>
                                                                              <w:marRight w:val="0"/>
                                                                              <w:marTop w:val="0"/>
                                                                              <w:marBottom w:val="0"/>
                                                                              <w:divBdr>
                                                                                <w:top w:val="none" w:sz="0" w:space="0" w:color="auto"/>
                                                                                <w:left w:val="none" w:sz="0" w:space="0" w:color="auto"/>
                                                                                <w:bottom w:val="none" w:sz="0" w:space="0" w:color="auto"/>
                                                                                <w:right w:val="none" w:sz="0" w:space="0" w:color="auto"/>
                                                                              </w:divBdr>
                                                                              <w:divsChild>
                                                                                <w:div w:id="2058966253">
                                                                                  <w:marLeft w:val="0"/>
                                                                                  <w:marRight w:val="0"/>
                                                                                  <w:marTop w:val="0"/>
                                                                                  <w:marBottom w:val="0"/>
                                                                                  <w:divBdr>
                                                                                    <w:top w:val="none" w:sz="0" w:space="0" w:color="auto"/>
                                                                                    <w:left w:val="none" w:sz="0" w:space="0" w:color="auto"/>
                                                                                    <w:bottom w:val="none" w:sz="0" w:space="0" w:color="auto"/>
                                                                                    <w:right w:val="none" w:sz="0" w:space="0" w:color="auto"/>
                                                                                  </w:divBdr>
                                                                                  <w:divsChild>
                                                                                    <w:div w:id="2058966287">
                                                                                      <w:marLeft w:val="0"/>
                                                                                      <w:marRight w:val="0"/>
                                                                                      <w:marTop w:val="0"/>
                                                                                      <w:marBottom w:val="0"/>
                                                                                      <w:divBdr>
                                                                                        <w:top w:val="none" w:sz="0" w:space="0" w:color="auto"/>
                                                                                        <w:left w:val="none" w:sz="0" w:space="0" w:color="auto"/>
                                                                                        <w:bottom w:val="none" w:sz="0" w:space="0" w:color="auto"/>
                                                                                        <w:right w:val="none" w:sz="0" w:space="0" w:color="auto"/>
                                                                                      </w:divBdr>
                                                                                      <w:divsChild>
                                                                                        <w:div w:id="2058966250">
                                                                                          <w:marLeft w:val="0"/>
                                                                                          <w:marRight w:val="0"/>
                                                                                          <w:marTop w:val="0"/>
                                                                                          <w:marBottom w:val="0"/>
                                                                                          <w:divBdr>
                                                                                            <w:top w:val="none" w:sz="0" w:space="0" w:color="auto"/>
                                                                                            <w:left w:val="none" w:sz="0" w:space="0" w:color="auto"/>
                                                                                            <w:bottom w:val="none" w:sz="0" w:space="0" w:color="auto"/>
                                                                                            <w:right w:val="none" w:sz="0" w:space="0" w:color="auto"/>
                                                                                          </w:divBdr>
                                                                                        </w:div>
                                                                                        <w:div w:id="2058966255">
                                                                                          <w:marLeft w:val="0"/>
                                                                                          <w:marRight w:val="0"/>
                                                                                          <w:marTop w:val="0"/>
                                                                                          <w:marBottom w:val="0"/>
                                                                                          <w:divBdr>
                                                                                            <w:top w:val="none" w:sz="0" w:space="0" w:color="auto"/>
                                                                                            <w:left w:val="none" w:sz="0" w:space="0" w:color="auto"/>
                                                                                            <w:bottom w:val="none" w:sz="0" w:space="0" w:color="auto"/>
                                                                                            <w:right w:val="none" w:sz="0" w:space="0" w:color="auto"/>
                                                                                          </w:divBdr>
                                                                                        </w:div>
                                                                                        <w:div w:id="2058966263">
                                                                                          <w:marLeft w:val="0"/>
                                                                                          <w:marRight w:val="0"/>
                                                                                          <w:marTop w:val="0"/>
                                                                                          <w:marBottom w:val="0"/>
                                                                                          <w:divBdr>
                                                                                            <w:top w:val="none" w:sz="0" w:space="0" w:color="auto"/>
                                                                                            <w:left w:val="none" w:sz="0" w:space="0" w:color="auto"/>
                                                                                            <w:bottom w:val="none" w:sz="0" w:space="0" w:color="auto"/>
                                                                                            <w:right w:val="none" w:sz="0" w:space="0" w:color="auto"/>
                                                                                          </w:divBdr>
                                                                                        </w:div>
                                                                                        <w:div w:id="20589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6261">
                                                                                  <w:marLeft w:val="0"/>
                                                                                  <w:marRight w:val="0"/>
                                                                                  <w:marTop w:val="0"/>
                                                                                  <w:marBottom w:val="0"/>
                                                                                  <w:divBdr>
                                                                                    <w:top w:val="none" w:sz="0" w:space="0" w:color="auto"/>
                                                                                    <w:left w:val="none" w:sz="0" w:space="0" w:color="auto"/>
                                                                                    <w:bottom w:val="none" w:sz="0" w:space="0" w:color="auto"/>
                                                                                    <w:right w:val="none" w:sz="0" w:space="0" w:color="auto"/>
                                                                                  </w:divBdr>
                                                                                </w:div>
                                                                              </w:divsChild>
                                                                            </w:div>
                                                                            <w:div w:id="20589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966278">
      <w:marLeft w:val="0"/>
      <w:marRight w:val="0"/>
      <w:marTop w:val="0"/>
      <w:marBottom w:val="0"/>
      <w:divBdr>
        <w:top w:val="none" w:sz="0" w:space="0" w:color="auto"/>
        <w:left w:val="none" w:sz="0" w:space="0" w:color="auto"/>
        <w:bottom w:val="none" w:sz="0" w:space="0" w:color="auto"/>
        <w:right w:val="none" w:sz="0" w:space="0" w:color="auto"/>
      </w:divBdr>
    </w:div>
    <w:div w:id="2058966282">
      <w:marLeft w:val="0"/>
      <w:marRight w:val="0"/>
      <w:marTop w:val="0"/>
      <w:marBottom w:val="0"/>
      <w:divBdr>
        <w:top w:val="none" w:sz="0" w:space="0" w:color="auto"/>
        <w:left w:val="none" w:sz="0" w:space="0" w:color="auto"/>
        <w:bottom w:val="none" w:sz="0" w:space="0" w:color="auto"/>
        <w:right w:val="none" w:sz="0" w:space="0" w:color="auto"/>
      </w:divBdr>
    </w:div>
    <w:div w:id="2058966283">
      <w:marLeft w:val="0"/>
      <w:marRight w:val="0"/>
      <w:marTop w:val="0"/>
      <w:marBottom w:val="0"/>
      <w:divBdr>
        <w:top w:val="none" w:sz="0" w:space="0" w:color="auto"/>
        <w:left w:val="none" w:sz="0" w:space="0" w:color="auto"/>
        <w:bottom w:val="none" w:sz="0" w:space="0" w:color="auto"/>
        <w:right w:val="none" w:sz="0" w:space="0" w:color="auto"/>
      </w:divBdr>
    </w:div>
    <w:div w:id="2058966285">
      <w:marLeft w:val="0"/>
      <w:marRight w:val="0"/>
      <w:marTop w:val="0"/>
      <w:marBottom w:val="0"/>
      <w:divBdr>
        <w:top w:val="none" w:sz="0" w:space="0" w:color="auto"/>
        <w:left w:val="none" w:sz="0" w:space="0" w:color="auto"/>
        <w:bottom w:val="none" w:sz="0" w:space="0" w:color="auto"/>
        <w:right w:val="none" w:sz="0" w:space="0" w:color="auto"/>
      </w:divBdr>
    </w:div>
    <w:div w:id="2058966291">
      <w:marLeft w:val="0"/>
      <w:marRight w:val="0"/>
      <w:marTop w:val="0"/>
      <w:marBottom w:val="0"/>
      <w:divBdr>
        <w:top w:val="none" w:sz="0" w:space="0" w:color="auto"/>
        <w:left w:val="none" w:sz="0" w:space="0" w:color="auto"/>
        <w:bottom w:val="none" w:sz="0" w:space="0" w:color="auto"/>
        <w:right w:val="none" w:sz="0" w:space="0" w:color="auto"/>
      </w:divBdr>
    </w:div>
    <w:div w:id="2058966292">
      <w:marLeft w:val="0"/>
      <w:marRight w:val="0"/>
      <w:marTop w:val="0"/>
      <w:marBottom w:val="0"/>
      <w:divBdr>
        <w:top w:val="none" w:sz="0" w:space="0" w:color="auto"/>
        <w:left w:val="none" w:sz="0" w:space="0" w:color="auto"/>
        <w:bottom w:val="none" w:sz="0" w:space="0" w:color="auto"/>
        <w:right w:val="none" w:sz="0" w:space="0" w:color="auto"/>
      </w:divBdr>
    </w:div>
    <w:div w:id="2058966293">
      <w:marLeft w:val="0"/>
      <w:marRight w:val="0"/>
      <w:marTop w:val="0"/>
      <w:marBottom w:val="0"/>
      <w:divBdr>
        <w:top w:val="none" w:sz="0" w:space="0" w:color="auto"/>
        <w:left w:val="none" w:sz="0" w:space="0" w:color="auto"/>
        <w:bottom w:val="none" w:sz="0" w:space="0" w:color="auto"/>
        <w:right w:val="none" w:sz="0" w:space="0" w:color="auto"/>
      </w:divBdr>
    </w:div>
    <w:div w:id="2058966294">
      <w:marLeft w:val="0"/>
      <w:marRight w:val="0"/>
      <w:marTop w:val="0"/>
      <w:marBottom w:val="0"/>
      <w:divBdr>
        <w:top w:val="none" w:sz="0" w:space="0" w:color="auto"/>
        <w:left w:val="none" w:sz="0" w:space="0" w:color="auto"/>
        <w:bottom w:val="none" w:sz="0" w:space="0" w:color="auto"/>
        <w:right w:val="none" w:sz="0" w:space="0" w:color="auto"/>
      </w:divBdr>
    </w:div>
    <w:div w:id="2058966295">
      <w:marLeft w:val="0"/>
      <w:marRight w:val="0"/>
      <w:marTop w:val="0"/>
      <w:marBottom w:val="0"/>
      <w:divBdr>
        <w:top w:val="none" w:sz="0" w:space="0" w:color="auto"/>
        <w:left w:val="none" w:sz="0" w:space="0" w:color="auto"/>
        <w:bottom w:val="none" w:sz="0" w:space="0" w:color="auto"/>
        <w:right w:val="none" w:sz="0" w:space="0" w:color="auto"/>
      </w:divBdr>
    </w:div>
    <w:div w:id="2058966296">
      <w:marLeft w:val="0"/>
      <w:marRight w:val="0"/>
      <w:marTop w:val="0"/>
      <w:marBottom w:val="0"/>
      <w:divBdr>
        <w:top w:val="none" w:sz="0" w:space="0" w:color="auto"/>
        <w:left w:val="none" w:sz="0" w:space="0" w:color="auto"/>
        <w:bottom w:val="none" w:sz="0" w:space="0" w:color="auto"/>
        <w:right w:val="none" w:sz="0" w:space="0" w:color="auto"/>
      </w:divBdr>
    </w:div>
    <w:div w:id="20589662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1952</Words>
  <Characters>11131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C O M U N E  D I  P E T R O S I N O</vt:lpstr>
    </vt:vector>
  </TitlesOfParts>
  <Company>Comune di Petrosino</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M U N E  D I  P E T R O S I N O</dc:title>
  <dc:creator>Ragioneria</dc:creator>
  <cp:lastModifiedBy>Utente</cp:lastModifiedBy>
  <cp:revision>2</cp:revision>
  <cp:lastPrinted>2014-02-13T10:19:00Z</cp:lastPrinted>
  <dcterms:created xsi:type="dcterms:W3CDTF">2017-06-26T09:05:00Z</dcterms:created>
  <dcterms:modified xsi:type="dcterms:W3CDTF">2017-06-26T09:05:00Z</dcterms:modified>
</cp:coreProperties>
</file>