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BA" w:rsidRDefault="004B30AC">
      <w:pPr>
        <w:jc w:val="both"/>
      </w:pPr>
      <w:bookmarkStart w:id="0" w:name="_GoBack"/>
      <w:bookmarkEnd w:id="0"/>
      <w:r>
        <w:t xml:space="preserve"> </w:t>
      </w:r>
      <w:r w:rsidR="002734ED">
        <w:rPr>
          <w:noProof/>
          <w:lang w:eastAsia="it-IT"/>
        </w:rPr>
        <w:drawing>
          <wp:inline distT="0" distB="0" distL="0" distR="0">
            <wp:extent cx="6122670" cy="24174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2417445"/>
                    </a:xfrm>
                    <a:prstGeom prst="rect">
                      <a:avLst/>
                    </a:prstGeom>
                    <a:noFill/>
                    <a:ln>
                      <a:noFill/>
                    </a:ln>
                  </pic:spPr>
                </pic:pic>
              </a:graphicData>
            </a:graphic>
          </wp:inline>
        </w:drawing>
      </w:r>
    </w:p>
    <w:p w:rsidR="00FF3CBA" w:rsidRDefault="00FF3CBA">
      <w:pPr>
        <w:jc w:val="both"/>
        <w:rPr>
          <w:b/>
        </w:rPr>
      </w:pPr>
    </w:p>
    <w:p w:rsidR="00FF3CBA" w:rsidRDefault="00FF3CBA">
      <w:pPr>
        <w:jc w:val="both"/>
        <w:rPr>
          <w:b/>
        </w:rPr>
      </w:pPr>
      <w:r>
        <w:rPr>
          <w:b/>
          <w:sz w:val="28"/>
          <w:szCs w:val="28"/>
        </w:rPr>
        <w:t>OGGETTO:</w:t>
      </w:r>
      <w:r>
        <w:rPr>
          <w:b/>
        </w:rPr>
        <w:t xml:space="preserve"> </w:t>
      </w:r>
      <w:r>
        <w:rPr>
          <w:b/>
          <w:sz w:val="28"/>
          <w:szCs w:val="28"/>
        </w:rPr>
        <w:t xml:space="preserve">Controllo finanziario degli enti locali  - </w:t>
      </w:r>
      <w:r w:rsidR="008B2B1A" w:rsidRPr="00516DCA">
        <w:rPr>
          <w:b/>
          <w:sz w:val="28"/>
          <w:szCs w:val="28"/>
        </w:rPr>
        <w:t>R</w:t>
      </w:r>
      <w:r w:rsidRPr="00516DCA">
        <w:rPr>
          <w:b/>
          <w:sz w:val="28"/>
          <w:szCs w:val="28"/>
        </w:rPr>
        <w:t xml:space="preserve">endiconto </w:t>
      </w:r>
      <w:r w:rsidR="00464288" w:rsidRPr="00516DCA">
        <w:rPr>
          <w:b/>
          <w:sz w:val="28"/>
          <w:szCs w:val="28"/>
        </w:rPr>
        <w:t>2013</w:t>
      </w:r>
      <w:r w:rsidR="00464288">
        <w:rPr>
          <w:b/>
          <w:sz w:val="28"/>
          <w:szCs w:val="28"/>
        </w:rPr>
        <w:t xml:space="preserve"> </w:t>
      </w:r>
      <w:r>
        <w:rPr>
          <w:b/>
          <w:sz w:val="28"/>
          <w:szCs w:val="28"/>
        </w:rPr>
        <w:t xml:space="preserve">Deliberazione Corte dei Conti n° </w:t>
      </w:r>
      <w:r w:rsidR="00464288">
        <w:rPr>
          <w:b/>
          <w:sz w:val="28"/>
          <w:szCs w:val="28"/>
        </w:rPr>
        <w:t>309/2015/</w:t>
      </w:r>
      <w:r w:rsidR="00ED6D8B">
        <w:rPr>
          <w:b/>
          <w:sz w:val="28"/>
          <w:szCs w:val="28"/>
        </w:rPr>
        <w:t>/</w:t>
      </w:r>
      <w:r>
        <w:rPr>
          <w:b/>
          <w:sz w:val="28"/>
          <w:szCs w:val="28"/>
        </w:rPr>
        <w:t>PRSP - Misure correttive</w:t>
      </w:r>
      <w:r>
        <w:rPr>
          <w:b/>
        </w:rPr>
        <w:t>.</w:t>
      </w:r>
    </w:p>
    <w:p w:rsidR="00FF3CBA" w:rsidRDefault="00FF3CBA">
      <w:pPr>
        <w:jc w:val="both"/>
        <w:rPr>
          <w:b/>
        </w:rPr>
      </w:pPr>
    </w:p>
    <w:p w:rsidR="00FF3CBA" w:rsidRDefault="00FF3CBA">
      <w:pPr>
        <w:jc w:val="both"/>
      </w:pPr>
      <w:r>
        <w:t>In relazione alla deliberazione richiamata in oggetto, la scrivente, sentiti i responsabili di settore ognuno per la propria competenza, relaziona al Consiglio comunale sui singoli punti, oggetto di criticità da parte della Corte dei Conti, come segue, evidenziando al contempo le azioni correttive messe in atto:</w:t>
      </w:r>
    </w:p>
    <w:p w:rsidR="00C65C31" w:rsidRDefault="00C65C31">
      <w:pPr>
        <w:jc w:val="both"/>
      </w:pPr>
    </w:p>
    <w:p w:rsidR="00C65C31" w:rsidRDefault="00C65C31">
      <w:pPr>
        <w:jc w:val="both"/>
      </w:pPr>
    </w:p>
    <w:p w:rsidR="00C65C31" w:rsidRDefault="00C65C31" w:rsidP="00C65C31">
      <w:pPr>
        <w:numPr>
          <w:ilvl w:val="0"/>
          <w:numId w:val="1"/>
        </w:numPr>
        <w:rPr>
          <w:rFonts w:eastAsia="Times New Roman"/>
          <w:b/>
          <w:lang w:eastAsia="it-IT"/>
        </w:rPr>
      </w:pPr>
      <w:r>
        <w:rPr>
          <w:rFonts w:eastAsia="Times New Roman"/>
          <w:b/>
          <w:lang w:eastAsia="it-IT"/>
        </w:rPr>
        <w:t xml:space="preserve">- Tardiva approvazione Rendiconto 2013 :  </w:t>
      </w:r>
    </w:p>
    <w:p w:rsidR="00C65C31" w:rsidRDefault="00C65C31" w:rsidP="00C65C31">
      <w:pPr>
        <w:ind w:left="502"/>
        <w:rPr>
          <w:rFonts w:eastAsia="Times New Roman"/>
          <w:b/>
          <w:lang w:eastAsia="it-IT"/>
        </w:rPr>
      </w:pPr>
    </w:p>
    <w:p w:rsidR="00C65C31" w:rsidRDefault="00C65C31" w:rsidP="00C65C31">
      <w:pPr>
        <w:ind w:left="502"/>
      </w:pPr>
      <w:r>
        <w:rPr>
          <w:rFonts w:eastAsia="Times New Roman"/>
          <w:lang w:eastAsia="it-IT"/>
        </w:rPr>
        <w:t>L’A.C.</w:t>
      </w:r>
      <w:r w:rsidRPr="00607924">
        <w:rPr>
          <w:rFonts w:eastAsia="Times New Roman"/>
          <w:lang w:eastAsia="it-IT"/>
        </w:rPr>
        <w:t xml:space="preserve">, </w:t>
      </w:r>
      <w:r>
        <w:rPr>
          <w:rFonts w:eastAsia="Times New Roman"/>
          <w:lang w:eastAsia="it-IT"/>
        </w:rPr>
        <w:t xml:space="preserve"> relativamente al punto in questione </w:t>
      </w:r>
      <w:r>
        <w:t xml:space="preserve">accoglie l’invito della Corte dei Conti a prestare la massima attenzione ai termini legislativi di approvazione del Rendiconto, e </w:t>
      </w:r>
      <w:r w:rsidR="00516DCA">
        <w:t xml:space="preserve">sta già </w:t>
      </w:r>
      <w:r>
        <w:t>lavor</w:t>
      </w:r>
      <w:r w:rsidR="00516DCA">
        <w:t xml:space="preserve">ando affinchè si </w:t>
      </w:r>
      <w:r>
        <w:t xml:space="preserve"> approv</w:t>
      </w:r>
      <w:r w:rsidR="00516DCA">
        <w:t>i</w:t>
      </w:r>
      <w:r>
        <w:t xml:space="preserve"> i</w:t>
      </w:r>
      <w:r w:rsidR="003C3177">
        <w:t>l</w:t>
      </w:r>
      <w:r>
        <w:t xml:space="preserve"> rendicont</w:t>
      </w:r>
      <w:r w:rsidR="003C3177">
        <w:t xml:space="preserve">o 2015 </w:t>
      </w:r>
      <w:r>
        <w:t xml:space="preserve"> nel rispetto dei termini di legge al fine anche di garantire la tempestività degli adempimenti connessi al cd. “ciclo del Bilancio”.</w:t>
      </w:r>
    </w:p>
    <w:p w:rsidR="00FF3CBA" w:rsidRDefault="00FF3CBA">
      <w:pPr>
        <w:jc w:val="both"/>
      </w:pPr>
    </w:p>
    <w:p w:rsidR="00C65C31" w:rsidRDefault="00FF3CBA" w:rsidP="00B96AA7">
      <w:pPr>
        <w:numPr>
          <w:ilvl w:val="0"/>
          <w:numId w:val="1"/>
        </w:numPr>
        <w:jc w:val="both"/>
      </w:pPr>
      <w:r w:rsidRPr="00B96AA7">
        <w:rPr>
          <w:rFonts w:eastAsia="Times New Roman"/>
          <w:b/>
          <w:lang w:eastAsia="it-IT"/>
        </w:rPr>
        <w:tab/>
        <w:t>-</w:t>
      </w:r>
      <w:r w:rsidR="00CB58F8" w:rsidRPr="00B96AA7">
        <w:rPr>
          <w:rFonts w:eastAsia="Times New Roman"/>
          <w:b/>
          <w:lang w:eastAsia="it-IT"/>
        </w:rPr>
        <w:t xml:space="preserve"> Superamento parametri D.M. 18/2/2013: </w:t>
      </w:r>
      <w:r w:rsidR="0090402F" w:rsidRPr="00B96AA7">
        <w:rPr>
          <w:rFonts w:eastAsia="Times New Roman"/>
          <w:lang w:eastAsia="it-IT"/>
        </w:rPr>
        <w:t>In relazione alla criticità mossa dalla Corte dei Conti  sullo sforamento dei parametri 2 e 3</w:t>
      </w:r>
      <w:r w:rsidR="00B96AA7" w:rsidRPr="00B96AA7">
        <w:rPr>
          <w:rFonts w:eastAsia="Times New Roman"/>
          <w:lang w:eastAsia="it-IT"/>
        </w:rPr>
        <w:t>, si conferma quanto già dettagliatamente descritto nelle memorie presentate in data 25.09.2015 in sede di audizione, con le quali si è certificato che lo sforamento dei parametri 2 e 3 afferiscono a residui derivanti da entrate tributarie non completamente riscosse per inadempienze da parte dei cittadini soggetti passivi delle imposte. I tale sede si è avuto modo di dimostrare che il trend delle riscossioni dei tributi comunali è in netto aumento. Per una migliore lettura di seguito si espone nella tabella riepilogativa:</w:t>
      </w:r>
      <w:r w:rsidR="00B96AA7">
        <w:t xml:space="preserve"> </w:t>
      </w:r>
    </w:p>
    <w:tbl>
      <w:tblPr>
        <w:tblpPr w:leftFromText="141" w:rightFromText="141" w:vertAnchor="text" w:horzAnchor="page" w:tblpX="2265" w:tblpY="206"/>
        <w:tblW w:w="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1452"/>
        <w:gridCol w:w="160"/>
        <w:gridCol w:w="1571"/>
        <w:gridCol w:w="160"/>
        <w:gridCol w:w="1399"/>
        <w:gridCol w:w="160"/>
      </w:tblGrid>
      <w:tr w:rsidR="00C65C31" w:rsidRPr="00E95B4D" w:rsidTr="00536741">
        <w:trPr>
          <w:trHeight w:val="446"/>
        </w:trPr>
        <w:tc>
          <w:tcPr>
            <w:tcW w:w="1883" w:type="dxa"/>
            <w:gridSpan w:val="2"/>
            <w:tcBorders>
              <w:top w:val="single" w:sz="4" w:space="0" w:color="auto"/>
              <w:left w:val="single" w:sz="4" w:space="0" w:color="auto"/>
              <w:bottom w:val="single" w:sz="4" w:space="0" w:color="auto"/>
              <w:right w:val="single" w:sz="4" w:space="0" w:color="auto"/>
            </w:tcBorders>
            <w:vAlign w:val="center"/>
            <w:hideMark/>
          </w:tcPr>
          <w:p w:rsidR="00C65C31" w:rsidRPr="00E95B4D" w:rsidRDefault="00C65C31" w:rsidP="00536741">
            <w:pPr>
              <w:jc w:val="center"/>
              <w:rPr>
                <w:rFonts w:eastAsia="Times New Roman"/>
                <w:sz w:val="20"/>
                <w:szCs w:val="20"/>
                <w:lang w:eastAsia="it-IT"/>
              </w:rPr>
            </w:pPr>
            <w:r w:rsidRPr="00E95B4D">
              <w:rPr>
                <w:rFonts w:eastAsia="Times New Roman"/>
                <w:sz w:val="20"/>
                <w:szCs w:val="20"/>
                <w:lang w:eastAsia="it-IT"/>
              </w:rPr>
              <w:t xml:space="preserve">TITOLO I </w:t>
            </w:r>
            <w:r>
              <w:rPr>
                <w:rFonts w:eastAsia="Times New Roman"/>
                <w:sz w:val="20"/>
                <w:szCs w:val="20"/>
                <w:lang w:eastAsia="it-IT"/>
              </w:rPr>
              <w:t xml:space="preserve">e III </w:t>
            </w:r>
            <w:r w:rsidRPr="00E95B4D">
              <w:rPr>
                <w:rFonts w:eastAsia="Times New Roman"/>
                <w:sz w:val="20"/>
                <w:szCs w:val="20"/>
                <w:lang w:eastAsia="it-IT"/>
              </w:rPr>
              <w:t>ENTRATE ESERCIZIO 201</w:t>
            </w:r>
            <w:r>
              <w:rPr>
                <w:rFonts w:eastAsia="Times New Roman"/>
                <w:sz w:val="20"/>
                <w:szCs w:val="20"/>
                <w:lang w:eastAsia="it-IT"/>
              </w:rPr>
              <w:t>2</w:t>
            </w:r>
          </w:p>
        </w:tc>
        <w:tc>
          <w:tcPr>
            <w:tcW w:w="1731" w:type="dxa"/>
            <w:gridSpan w:val="2"/>
            <w:tcBorders>
              <w:top w:val="single" w:sz="4" w:space="0" w:color="auto"/>
              <w:left w:val="single" w:sz="4" w:space="0" w:color="auto"/>
              <w:bottom w:val="single" w:sz="4" w:space="0" w:color="auto"/>
              <w:right w:val="single" w:sz="4" w:space="0" w:color="auto"/>
            </w:tcBorders>
            <w:vAlign w:val="center"/>
            <w:hideMark/>
          </w:tcPr>
          <w:p w:rsidR="00C65C31" w:rsidRPr="00E95B4D" w:rsidRDefault="00C65C31" w:rsidP="00536741">
            <w:pPr>
              <w:jc w:val="center"/>
              <w:rPr>
                <w:rFonts w:eastAsia="Times New Roman"/>
                <w:sz w:val="20"/>
                <w:szCs w:val="20"/>
                <w:lang w:eastAsia="it-IT"/>
              </w:rPr>
            </w:pPr>
            <w:r w:rsidRPr="00E95B4D">
              <w:rPr>
                <w:rFonts w:eastAsia="Times New Roman"/>
                <w:sz w:val="20"/>
                <w:szCs w:val="20"/>
                <w:lang w:eastAsia="it-IT"/>
              </w:rPr>
              <w:t xml:space="preserve">TITOLO I </w:t>
            </w:r>
            <w:r>
              <w:rPr>
                <w:rFonts w:eastAsia="Times New Roman"/>
                <w:sz w:val="20"/>
                <w:szCs w:val="20"/>
                <w:lang w:eastAsia="it-IT"/>
              </w:rPr>
              <w:t xml:space="preserve">e III </w:t>
            </w:r>
            <w:r w:rsidRPr="00E95B4D">
              <w:rPr>
                <w:rFonts w:eastAsia="Times New Roman"/>
                <w:sz w:val="20"/>
                <w:szCs w:val="20"/>
                <w:lang w:eastAsia="it-IT"/>
              </w:rPr>
              <w:t>ENTRATE ESERCIZIO 201</w:t>
            </w:r>
            <w:r>
              <w:rPr>
                <w:rFonts w:eastAsia="Times New Roman"/>
                <w:sz w:val="20"/>
                <w:szCs w:val="20"/>
                <w:lang w:eastAsia="it-IT"/>
              </w:rPr>
              <w:t>3</w:t>
            </w:r>
          </w:p>
        </w:tc>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C65C31" w:rsidRDefault="00C65C31" w:rsidP="00536741">
            <w:pPr>
              <w:jc w:val="center"/>
              <w:rPr>
                <w:rFonts w:eastAsia="Times New Roman"/>
                <w:sz w:val="20"/>
                <w:szCs w:val="20"/>
                <w:lang w:eastAsia="it-IT"/>
              </w:rPr>
            </w:pPr>
            <w:r w:rsidRPr="00E95B4D">
              <w:rPr>
                <w:rFonts w:eastAsia="Times New Roman"/>
                <w:sz w:val="20"/>
                <w:szCs w:val="20"/>
                <w:lang w:eastAsia="it-IT"/>
              </w:rPr>
              <w:t xml:space="preserve">TITOLO I </w:t>
            </w:r>
            <w:r>
              <w:rPr>
                <w:rFonts w:eastAsia="Times New Roman"/>
                <w:sz w:val="20"/>
                <w:szCs w:val="20"/>
                <w:lang w:eastAsia="it-IT"/>
              </w:rPr>
              <w:t>e III</w:t>
            </w:r>
          </w:p>
          <w:p w:rsidR="00C65C31" w:rsidRPr="00E95B4D" w:rsidRDefault="00C65C31" w:rsidP="00536741">
            <w:pPr>
              <w:jc w:val="center"/>
              <w:rPr>
                <w:rFonts w:eastAsia="Times New Roman"/>
                <w:sz w:val="20"/>
                <w:szCs w:val="20"/>
                <w:lang w:eastAsia="it-IT"/>
              </w:rPr>
            </w:pPr>
            <w:r w:rsidRPr="00E95B4D">
              <w:rPr>
                <w:rFonts w:eastAsia="Times New Roman"/>
                <w:sz w:val="20"/>
                <w:szCs w:val="20"/>
                <w:lang w:eastAsia="it-IT"/>
              </w:rPr>
              <w:t>ENTRATE ESERCIZIO 201</w:t>
            </w:r>
            <w:r>
              <w:rPr>
                <w:rFonts w:eastAsia="Times New Roman"/>
                <w:sz w:val="20"/>
                <w:szCs w:val="20"/>
                <w:lang w:eastAsia="it-IT"/>
              </w:rPr>
              <w:t>4</w:t>
            </w:r>
            <w:r w:rsidRPr="00E95B4D">
              <w:rPr>
                <w:rFonts w:eastAsia="Times New Roman"/>
                <w:sz w:val="20"/>
                <w:szCs w:val="20"/>
                <w:lang w:eastAsia="it-IT"/>
              </w:rPr>
              <w:t xml:space="preserve"> </w:t>
            </w:r>
          </w:p>
        </w:tc>
      </w:tr>
      <w:tr w:rsidR="00C65C31" w:rsidRPr="00E95B4D" w:rsidTr="00536741">
        <w:trPr>
          <w:trHeight w:val="70"/>
        </w:trPr>
        <w:tc>
          <w:tcPr>
            <w:tcW w:w="431" w:type="dxa"/>
            <w:tcBorders>
              <w:top w:val="single" w:sz="4" w:space="0" w:color="auto"/>
              <w:left w:val="single" w:sz="4" w:space="0" w:color="auto"/>
              <w:bottom w:val="single" w:sz="4" w:space="0" w:color="auto"/>
              <w:right w:val="single" w:sz="4" w:space="0" w:color="auto"/>
            </w:tcBorders>
            <w:noWrap/>
            <w:vAlign w:val="bottom"/>
          </w:tcPr>
          <w:p w:rsidR="00C65C31" w:rsidRPr="00E95B4D" w:rsidRDefault="00C65C31" w:rsidP="00536741">
            <w:pPr>
              <w:rPr>
                <w:rFonts w:eastAsia="Times New Roman"/>
                <w:sz w:val="18"/>
                <w:szCs w:val="18"/>
                <w:lang w:eastAsia="it-IT"/>
              </w:rPr>
            </w:pP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C65C31" w:rsidRPr="00E95B4D" w:rsidRDefault="00C65C31" w:rsidP="00536741">
            <w:pPr>
              <w:rPr>
                <w:rFonts w:eastAsia="Times New Roman"/>
                <w:sz w:val="18"/>
                <w:szCs w:val="18"/>
                <w:lang w:eastAsia="it-IT"/>
              </w:rPr>
            </w:pPr>
            <w:r w:rsidRPr="00E95B4D">
              <w:rPr>
                <w:rFonts w:eastAsia="Times New Roman"/>
                <w:sz w:val="18"/>
                <w:szCs w:val="18"/>
                <w:lang w:eastAsia="it-IT"/>
              </w:rPr>
              <w:t>RISCOSSIONI</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rPr>
                <w:rFonts w:eastAsia="Times New Roman"/>
                <w:sz w:val="18"/>
                <w:szCs w:val="18"/>
                <w:lang w:eastAsia="it-IT"/>
              </w:rPr>
            </w:pPr>
          </w:p>
        </w:tc>
        <w:tc>
          <w:tcPr>
            <w:tcW w:w="1571"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rPr>
                <w:rFonts w:eastAsia="Times New Roman"/>
                <w:sz w:val="18"/>
                <w:szCs w:val="18"/>
                <w:lang w:eastAsia="it-IT"/>
              </w:rPr>
            </w:pPr>
            <w:r w:rsidRPr="00E95B4D">
              <w:rPr>
                <w:rFonts w:eastAsia="Times New Roman"/>
                <w:sz w:val="18"/>
                <w:szCs w:val="18"/>
                <w:lang w:eastAsia="it-IT"/>
              </w:rPr>
              <w:t>RISCOSSIONI</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rPr>
                <w:rFonts w:eastAsia="Times New Roman"/>
                <w:sz w:val="18"/>
                <w:szCs w:val="18"/>
                <w:lang w:eastAsia="it-IT"/>
              </w:rPr>
            </w:pPr>
          </w:p>
        </w:tc>
        <w:tc>
          <w:tcPr>
            <w:tcW w:w="1399" w:type="dxa"/>
            <w:tcBorders>
              <w:top w:val="single" w:sz="4" w:space="0" w:color="auto"/>
              <w:left w:val="single" w:sz="4" w:space="0" w:color="auto"/>
              <w:bottom w:val="single" w:sz="4" w:space="0" w:color="auto"/>
              <w:right w:val="single" w:sz="4" w:space="0" w:color="auto"/>
            </w:tcBorders>
            <w:noWrap/>
            <w:vAlign w:val="bottom"/>
            <w:hideMark/>
          </w:tcPr>
          <w:p w:rsidR="00C65C31" w:rsidRPr="00E95B4D" w:rsidRDefault="00C65C31" w:rsidP="00536741">
            <w:pPr>
              <w:rPr>
                <w:sz w:val="18"/>
                <w:szCs w:val="18"/>
              </w:rPr>
            </w:pPr>
            <w:r w:rsidRPr="00E95B4D">
              <w:rPr>
                <w:sz w:val="18"/>
                <w:szCs w:val="18"/>
              </w:rPr>
              <w:t>RISCOSSIONI</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rPr>
                <w:sz w:val="18"/>
                <w:szCs w:val="18"/>
              </w:rPr>
            </w:pPr>
          </w:p>
        </w:tc>
      </w:tr>
      <w:tr w:rsidR="00C65C31" w:rsidRPr="00E95B4D" w:rsidTr="00536741">
        <w:trPr>
          <w:trHeight w:val="255"/>
        </w:trPr>
        <w:tc>
          <w:tcPr>
            <w:tcW w:w="431" w:type="dxa"/>
            <w:tcBorders>
              <w:top w:val="single" w:sz="4" w:space="0" w:color="auto"/>
              <w:left w:val="single" w:sz="4" w:space="0" w:color="auto"/>
              <w:bottom w:val="single" w:sz="4" w:space="0" w:color="auto"/>
              <w:right w:val="single" w:sz="4" w:space="0" w:color="auto"/>
            </w:tcBorders>
            <w:noWrap/>
            <w:vAlign w:val="bottom"/>
            <w:hideMark/>
          </w:tcPr>
          <w:p w:rsidR="00C65C31" w:rsidRPr="00E95B4D" w:rsidRDefault="00C65C31" w:rsidP="00536741">
            <w:pPr>
              <w:jc w:val="right"/>
              <w:rPr>
                <w:rFonts w:eastAsia="Times New Roman"/>
                <w:sz w:val="20"/>
                <w:szCs w:val="20"/>
                <w:lang w:eastAsia="it-IT"/>
              </w:rPr>
            </w:pPr>
            <w:r w:rsidRPr="00E95B4D">
              <w:rPr>
                <w:rFonts w:eastAsia="Times New Roman"/>
                <w:sz w:val="20"/>
                <w:szCs w:val="20"/>
                <w:lang w:eastAsia="it-IT"/>
              </w:rPr>
              <w:t>RS</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C65C31" w:rsidRPr="00E95B4D" w:rsidRDefault="00C65C31" w:rsidP="00536741">
            <w:pPr>
              <w:jc w:val="right"/>
              <w:rPr>
                <w:rFonts w:eastAsia="Times New Roman"/>
                <w:sz w:val="20"/>
                <w:szCs w:val="20"/>
                <w:lang w:eastAsia="it-IT"/>
              </w:rPr>
            </w:pPr>
            <w:r>
              <w:rPr>
                <w:rFonts w:eastAsia="Times New Roman"/>
                <w:sz w:val="20"/>
                <w:szCs w:val="20"/>
                <w:lang w:eastAsia="it-IT"/>
              </w:rPr>
              <w:t>1.017.461,47</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rFonts w:eastAsia="Times New Roman"/>
                <w:sz w:val="20"/>
                <w:szCs w:val="20"/>
                <w:lang w:eastAsia="it-IT"/>
              </w:rPr>
            </w:pPr>
          </w:p>
        </w:tc>
        <w:tc>
          <w:tcPr>
            <w:tcW w:w="1571"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sz w:val="20"/>
                <w:szCs w:val="20"/>
              </w:rPr>
            </w:pPr>
            <w:r>
              <w:rPr>
                <w:sz w:val="20"/>
                <w:szCs w:val="20"/>
              </w:rPr>
              <w:t>1.363.055,24</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rFonts w:eastAsia="Times New Roman"/>
                <w:sz w:val="20"/>
                <w:szCs w:val="20"/>
                <w:lang w:eastAsia="it-IT"/>
              </w:rPr>
            </w:pPr>
          </w:p>
        </w:tc>
        <w:tc>
          <w:tcPr>
            <w:tcW w:w="1399" w:type="dxa"/>
            <w:tcBorders>
              <w:top w:val="single" w:sz="4" w:space="0" w:color="auto"/>
              <w:left w:val="single" w:sz="4" w:space="0" w:color="auto"/>
              <w:bottom w:val="single" w:sz="4" w:space="0" w:color="auto"/>
              <w:right w:val="single" w:sz="4" w:space="0" w:color="auto"/>
            </w:tcBorders>
            <w:noWrap/>
            <w:vAlign w:val="bottom"/>
            <w:hideMark/>
          </w:tcPr>
          <w:p w:rsidR="00C65C31" w:rsidRPr="00E95B4D" w:rsidRDefault="00C65C31" w:rsidP="00536741">
            <w:pPr>
              <w:jc w:val="right"/>
              <w:rPr>
                <w:sz w:val="20"/>
                <w:szCs w:val="20"/>
              </w:rPr>
            </w:pPr>
            <w:r>
              <w:rPr>
                <w:sz w:val="20"/>
                <w:szCs w:val="20"/>
              </w:rPr>
              <w:t>1.175.546,32</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sz w:val="20"/>
                <w:szCs w:val="20"/>
              </w:rPr>
            </w:pPr>
          </w:p>
        </w:tc>
      </w:tr>
      <w:tr w:rsidR="00C65C31" w:rsidRPr="00E95B4D" w:rsidTr="00536741">
        <w:trPr>
          <w:trHeight w:val="255"/>
        </w:trPr>
        <w:tc>
          <w:tcPr>
            <w:tcW w:w="431" w:type="dxa"/>
            <w:tcBorders>
              <w:top w:val="single" w:sz="4" w:space="0" w:color="auto"/>
              <w:left w:val="single" w:sz="4" w:space="0" w:color="auto"/>
              <w:bottom w:val="single" w:sz="4" w:space="0" w:color="auto"/>
              <w:right w:val="single" w:sz="4" w:space="0" w:color="auto"/>
            </w:tcBorders>
            <w:noWrap/>
            <w:vAlign w:val="bottom"/>
            <w:hideMark/>
          </w:tcPr>
          <w:p w:rsidR="00C65C31" w:rsidRPr="00E95B4D" w:rsidRDefault="00C65C31" w:rsidP="00536741">
            <w:pPr>
              <w:jc w:val="right"/>
              <w:rPr>
                <w:rFonts w:eastAsia="Times New Roman"/>
                <w:sz w:val="20"/>
                <w:szCs w:val="20"/>
                <w:lang w:eastAsia="it-IT"/>
              </w:rPr>
            </w:pPr>
            <w:r w:rsidRPr="00E95B4D">
              <w:rPr>
                <w:rFonts w:eastAsia="Times New Roman"/>
                <w:sz w:val="20"/>
                <w:szCs w:val="20"/>
                <w:lang w:eastAsia="it-IT"/>
              </w:rPr>
              <w:t>CP</w:t>
            </w: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C65C31" w:rsidRPr="00E95B4D" w:rsidRDefault="00C65C31" w:rsidP="00536741">
            <w:pPr>
              <w:jc w:val="right"/>
              <w:rPr>
                <w:rFonts w:eastAsia="Times New Roman"/>
                <w:sz w:val="20"/>
                <w:szCs w:val="20"/>
                <w:lang w:eastAsia="it-IT"/>
              </w:rPr>
            </w:pPr>
            <w:r>
              <w:rPr>
                <w:rFonts w:eastAsia="Times New Roman"/>
                <w:sz w:val="20"/>
                <w:szCs w:val="20"/>
                <w:lang w:eastAsia="it-IT"/>
              </w:rPr>
              <w:t>1.604.853,69</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rFonts w:eastAsia="Times New Roman"/>
                <w:sz w:val="20"/>
                <w:szCs w:val="20"/>
                <w:lang w:eastAsia="it-IT"/>
              </w:rPr>
            </w:pPr>
          </w:p>
        </w:tc>
        <w:tc>
          <w:tcPr>
            <w:tcW w:w="1571"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sz w:val="20"/>
                <w:szCs w:val="20"/>
              </w:rPr>
            </w:pPr>
            <w:r>
              <w:rPr>
                <w:sz w:val="20"/>
                <w:szCs w:val="20"/>
              </w:rPr>
              <w:t>1.718.616,12</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rFonts w:eastAsia="Times New Roman"/>
                <w:sz w:val="20"/>
                <w:szCs w:val="20"/>
                <w:lang w:eastAsia="it-IT"/>
              </w:rPr>
            </w:pPr>
          </w:p>
        </w:tc>
        <w:tc>
          <w:tcPr>
            <w:tcW w:w="1399" w:type="dxa"/>
            <w:tcBorders>
              <w:top w:val="single" w:sz="4" w:space="0" w:color="auto"/>
              <w:left w:val="single" w:sz="4" w:space="0" w:color="auto"/>
              <w:bottom w:val="single" w:sz="4" w:space="0" w:color="auto"/>
              <w:right w:val="single" w:sz="4" w:space="0" w:color="auto"/>
            </w:tcBorders>
            <w:noWrap/>
            <w:vAlign w:val="bottom"/>
            <w:hideMark/>
          </w:tcPr>
          <w:p w:rsidR="00C65C31" w:rsidRPr="00E95B4D" w:rsidRDefault="00C65C31" w:rsidP="00536741">
            <w:pPr>
              <w:jc w:val="right"/>
              <w:rPr>
                <w:sz w:val="20"/>
                <w:szCs w:val="20"/>
              </w:rPr>
            </w:pPr>
            <w:r>
              <w:rPr>
                <w:sz w:val="20"/>
                <w:szCs w:val="20"/>
              </w:rPr>
              <w:t>2.297.797,57</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sz w:val="20"/>
                <w:szCs w:val="20"/>
              </w:rPr>
            </w:pPr>
          </w:p>
        </w:tc>
      </w:tr>
      <w:tr w:rsidR="00C65C31" w:rsidRPr="00E95B4D" w:rsidTr="00536741">
        <w:trPr>
          <w:trHeight w:val="270"/>
        </w:trPr>
        <w:tc>
          <w:tcPr>
            <w:tcW w:w="431" w:type="dxa"/>
            <w:tcBorders>
              <w:top w:val="single" w:sz="4" w:space="0" w:color="auto"/>
              <w:left w:val="single" w:sz="4" w:space="0" w:color="auto"/>
              <w:bottom w:val="single" w:sz="4" w:space="0" w:color="auto"/>
              <w:right w:val="single" w:sz="4" w:space="0" w:color="auto"/>
            </w:tcBorders>
            <w:noWrap/>
            <w:vAlign w:val="bottom"/>
          </w:tcPr>
          <w:p w:rsidR="00C65C31" w:rsidRPr="00E95B4D" w:rsidRDefault="00C65C31" w:rsidP="00536741">
            <w:pPr>
              <w:rPr>
                <w:rFonts w:eastAsia="Times New Roman"/>
                <w:sz w:val="20"/>
                <w:szCs w:val="20"/>
                <w:lang w:eastAsia="it-IT"/>
              </w:rPr>
            </w:pPr>
          </w:p>
        </w:tc>
        <w:tc>
          <w:tcPr>
            <w:tcW w:w="1452" w:type="dxa"/>
            <w:tcBorders>
              <w:top w:val="single" w:sz="4" w:space="0" w:color="auto"/>
              <w:left w:val="single" w:sz="4" w:space="0" w:color="auto"/>
              <w:bottom w:val="single" w:sz="4" w:space="0" w:color="auto"/>
              <w:right w:val="single" w:sz="4" w:space="0" w:color="auto"/>
            </w:tcBorders>
            <w:noWrap/>
            <w:vAlign w:val="bottom"/>
            <w:hideMark/>
          </w:tcPr>
          <w:p w:rsidR="00C65C31" w:rsidRPr="00E95B4D" w:rsidRDefault="00C65C31" w:rsidP="00536741">
            <w:pPr>
              <w:jc w:val="right"/>
              <w:rPr>
                <w:rFonts w:eastAsia="Times New Roman"/>
                <w:b/>
                <w:bCs/>
                <w:sz w:val="20"/>
                <w:szCs w:val="20"/>
                <w:lang w:eastAsia="it-IT"/>
              </w:rPr>
            </w:pPr>
            <w:r>
              <w:rPr>
                <w:rFonts w:eastAsia="Times New Roman"/>
                <w:b/>
                <w:bCs/>
                <w:sz w:val="20"/>
                <w:szCs w:val="20"/>
                <w:lang w:eastAsia="it-IT"/>
              </w:rPr>
              <w:t>2.622.315,16</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rFonts w:eastAsia="Times New Roman"/>
                <w:b/>
                <w:bCs/>
                <w:sz w:val="20"/>
                <w:szCs w:val="20"/>
                <w:lang w:eastAsia="it-IT"/>
              </w:rPr>
            </w:pPr>
          </w:p>
        </w:tc>
        <w:tc>
          <w:tcPr>
            <w:tcW w:w="1571"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b/>
                <w:bCs/>
                <w:sz w:val="20"/>
                <w:szCs w:val="20"/>
              </w:rPr>
            </w:pPr>
            <w:r>
              <w:rPr>
                <w:b/>
                <w:bCs/>
                <w:sz w:val="20"/>
                <w:szCs w:val="20"/>
              </w:rPr>
              <w:t>3.081.671,36</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rFonts w:eastAsia="Times New Roman"/>
                <w:b/>
                <w:bCs/>
                <w:sz w:val="20"/>
                <w:szCs w:val="20"/>
                <w:lang w:eastAsia="it-IT"/>
              </w:rPr>
            </w:pPr>
          </w:p>
        </w:tc>
        <w:tc>
          <w:tcPr>
            <w:tcW w:w="1399" w:type="dxa"/>
            <w:tcBorders>
              <w:top w:val="single" w:sz="4" w:space="0" w:color="auto"/>
              <w:left w:val="single" w:sz="4" w:space="0" w:color="auto"/>
              <w:bottom w:val="single" w:sz="4" w:space="0" w:color="auto"/>
              <w:right w:val="single" w:sz="4" w:space="0" w:color="auto"/>
            </w:tcBorders>
            <w:noWrap/>
            <w:vAlign w:val="bottom"/>
            <w:hideMark/>
          </w:tcPr>
          <w:p w:rsidR="00C65C31" w:rsidRPr="00E95B4D" w:rsidRDefault="00C65C31" w:rsidP="00536741">
            <w:pPr>
              <w:jc w:val="right"/>
              <w:rPr>
                <w:b/>
                <w:bCs/>
                <w:sz w:val="20"/>
                <w:szCs w:val="20"/>
              </w:rPr>
            </w:pPr>
            <w:r>
              <w:rPr>
                <w:b/>
                <w:bCs/>
                <w:sz w:val="20"/>
                <w:szCs w:val="20"/>
              </w:rPr>
              <w:t>3.473.343,89</w:t>
            </w:r>
          </w:p>
        </w:tc>
        <w:tc>
          <w:tcPr>
            <w:tcW w:w="160" w:type="dxa"/>
            <w:tcBorders>
              <w:top w:val="single" w:sz="4" w:space="0" w:color="auto"/>
              <w:left w:val="single" w:sz="4" w:space="0" w:color="auto"/>
              <w:bottom w:val="single" w:sz="4" w:space="0" w:color="auto"/>
              <w:right w:val="single" w:sz="4" w:space="0" w:color="auto"/>
            </w:tcBorders>
            <w:vAlign w:val="bottom"/>
            <w:hideMark/>
          </w:tcPr>
          <w:p w:rsidR="00C65C31" w:rsidRPr="00E95B4D" w:rsidRDefault="00C65C31" w:rsidP="00536741">
            <w:pPr>
              <w:jc w:val="right"/>
              <w:rPr>
                <w:b/>
                <w:bCs/>
                <w:sz w:val="20"/>
                <w:szCs w:val="20"/>
              </w:rPr>
            </w:pPr>
          </w:p>
        </w:tc>
      </w:tr>
    </w:tbl>
    <w:p w:rsidR="00C65C31" w:rsidRDefault="00C65C31" w:rsidP="00C65C31"/>
    <w:p w:rsidR="00C65C31" w:rsidRDefault="00C65C31" w:rsidP="00C65C31"/>
    <w:p w:rsidR="00C65C31" w:rsidRPr="00D471DE" w:rsidRDefault="00C65C31" w:rsidP="00C65C31"/>
    <w:p w:rsidR="00C65C31" w:rsidRDefault="00C65C31" w:rsidP="00C65C31">
      <w:pPr>
        <w:rPr>
          <w:b/>
        </w:rPr>
      </w:pPr>
      <w:r>
        <w:rPr>
          <w:b/>
        </w:rPr>
        <w:tab/>
      </w:r>
    </w:p>
    <w:p w:rsidR="00C65C31" w:rsidRDefault="00C65C31" w:rsidP="00C65C31">
      <w:pPr>
        <w:rPr>
          <w:b/>
        </w:rPr>
      </w:pPr>
    </w:p>
    <w:p w:rsidR="00C65C31" w:rsidRPr="00D471DE" w:rsidRDefault="00C65C31" w:rsidP="00C65C31">
      <w:pPr>
        <w:rPr>
          <w:b/>
        </w:rPr>
      </w:pPr>
      <w:r>
        <w:rPr>
          <w:b/>
        </w:rPr>
        <w:tab/>
      </w:r>
      <w:r>
        <w:rPr>
          <w:b/>
        </w:rPr>
        <w:tab/>
      </w:r>
    </w:p>
    <w:p w:rsidR="00C65C31" w:rsidRDefault="00C65C31" w:rsidP="00C65C31"/>
    <w:p w:rsidR="00A879C7" w:rsidRDefault="00A879C7" w:rsidP="00A879C7">
      <w:pPr>
        <w:rPr>
          <w:rFonts w:eastAsia="Times New Roman"/>
          <w:lang w:eastAsia="it-IT"/>
        </w:rPr>
      </w:pPr>
    </w:p>
    <w:p w:rsidR="000F1F80" w:rsidRDefault="00B96AA7" w:rsidP="000F1F80">
      <w:pPr>
        <w:pStyle w:val="Paragrafoelenco"/>
        <w:numPr>
          <w:ilvl w:val="0"/>
          <w:numId w:val="17"/>
        </w:numPr>
        <w:autoSpaceDE w:val="0"/>
        <w:autoSpaceDN w:val="0"/>
        <w:adjustRightInd w:val="0"/>
        <w:spacing w:after="200" w:line="276" w:lineRule="auto"/>
        <w:ind w:left="0"/>
        <w:contextualSpacing/>
        <w:jc w:val="both"/>
        <w:rPr>
          <w:bCs/>
        </w:rPr>
      </w:pPr>
      <w:r>
        <w:rPr>
          <w:rFonts w:eastAsia="Times New Roman"/>
          <w:lang w:eastAsia="it-IT"/>
        </w:rPr>
        <w:lastRenderedPageBreak/>
        <w:t xml:space="preserve">Per tale fattispecie, comunque, </w:t>
      </w:r>
      <w:r w:rsidR="000F1F80">
        <w:rPr>
          <w:rFonts w:eastAsia="Times New Roman"/>
          <w:lang w:eastAsia="it-IT"/>
        </w:rPr>
        <w:t xml:space="preserve">l’ A.C.  ha </w:t>
      </w:r>
      <w:r>
        <w:t>attivato</w:t>
      </w:r>
      <w:r w:rsidR="000F1F80" w:rsidRPr="00FD12E3">
        <w:t xml:space="preserve"> misure urgenti per </w:t>
      </w:r>
      <w:r>
        <w:t>addivenire ad un aumento delle entrate tributarie:</w:t>
      </w:r>
      <w:r w:rsidR="006D6BD6">
        <w:t xml:space="preserve"> invero appurato che il lavoro dell’ufficio tributi si sostanzia nella conclusione della fase di accertamento e ingiunzione</w:t>
      </w:r>
      <w:r>
        <w:t xml:space="preserve"> </w:t>
      </w:r>
      <w:r w:rsidR="006D6BD6">
        <w:t xml:space="preserve">nei confronti degli evasori, </w:t>
      </w:r>
      <w:r w:rsidR="00516DCA">
        <w:rPr>
          <w:rFonts w:eastAsia="Times New Roman"/>
          <w:lang w:eastAsia="it-IT"/>
        </w:rPr>
        <w:t>con atto di Giunta n° 79 del 9/6/2015</w:t>
      </w:r>
      <w:r w:rsidR="006D6BD6">
        <w:rPr>
          <w:rFonts w:eastAsia="Times New Roman"/>
          <w:lang w:eastAsia="it-IT"/>
        </w:rPr>
        <w:t xml:space="preserve"> ha conferito apposito</w:t>
      </w:r>
      <w:r w:rsidR="00516DCA">
        <w:rPr>
          <w:rFonts w:eastAsia="Times New Roman"/>
          <w:lang w:eastAsia="it-IT"/>
        </w:rPr>
        <w:t xml:space="preserve">  </w:t>
      </w:r>
      <w:r w:rsidR="008A67AF">
        <w:rPr>
          <w:rFonts w:eastAsia="Times New Roman"/>
          <w:lang w:eastAsia="it-IT"/>
        </w:rPr>
        <w:t>incarico ad un soggetto esterno abilitato per  la riscossione coattiva,</w:t>
      </w:r>
      <w:r w:rsidR="008A67AF" w:rsidRPr="008A67AF">
        <w:t xml:space="preserve"> </w:t>
      </w:r>
      <w:r w:rsidR="008A67AF">
        <w:t xml:space="preserve">attraverso </w:t>
      </w:r>
      <w:r w:rsidR="008A67AF" w:rsidRPr="008A67AF">
        <w:rPr>
          <w:bCs/>
        </w:rPr>
        <w:t>procediment</w:t>
      </w:r>
      <w:r w:rsidR="008A67AF">
        <w:rPr>
          <w:bCs/>
        </w:rPr>
        <w:t xml:space="preserve">i </w:t>
      </w:r>
      <w:r w:rsidR="008A67AF" w:rsidRPr="008A67AF">
        <w:rPr>
          <w:bCs/>
        </w:rPr>
        <w:t>amministrativ</w:t>
      </w:r>
      <w:r w:rsidR="008A67AF">
        <w:rPr>
          <w:bCs/>
        </w:rPr>
        <w:t>i</w:t>
      </w:r>
      <w:r w:rsidR="008A67AF" w:rsidRPr="008A67AF">
        <w:rPr>
          <w:bCs/>
        </w:rPr>
        <w:t xml:space="preserve"> da eseguire</w:t>
      </w:r>
      <w:r w:rsidR="00516DCA">
        <w:rPr>
          <w:bCs/>
        </w:rPr>
        <w:t xml:space="preserve"> anche</w:t>
      </w:r>
      <w:r w:rsidR="008A67AF" w:rsidRPr="008A67AF">
        <w:rPr>
          <w:bCs/>
        </w:rPr>
        <w:t xml:space="preserve"> tramite lo strumento ex. RD 639/10</w:t>
      </w:r>
      <w:r w:rsidR="008A67AF">
        <w:rPr>
          <w:bCs/>
        </w:rPr>
        <w:t>.</w:t>
      </w:r>
      <w:r w:rsidR="006D6BD6">
        <w:rPr>
          <w:bCs/>
        </w:rPr>
        <w:t xml:space="preserve"> Ad oggi si può certificare che il soggetto ha già avviato l’attività procedendo, per alcuni contribuenti, ad effettuare le procedure previste dall’istituto del pignoramento presso terzi. Va da se che il procedimento di riscossione coattiva risulta, ope legis,  estremamente lungo ma sicuramente non sottovalutato dall’Amministrazione comunale. Per quanto attiene lo sforamento del parametro 4 si evidenzia quanto segue: il </w:t>
      </w:r>
      <w:r w:rsidR="006D6BD6">
        <w:t xml:space="preserve">volume dei residui passivi, afferenti il  titolo I° sono stati esaminati in fase di chiusura dell’esercizio finanziario 2014 con la revisione ordinaria   e recentemente con la revisione straordinaria dei residui al  31/12/2014 ai fini dell’armonizzazione contabile,si è proceduto al  mantenimento in vita esclusivamente dei residui che avevano i presupposti giuridici per il mantenimento in contabilità ed eliminando residui passivi per </w:t>
      </w:r>
      <w:r w:rsidR="006D6BD6" w:rsidRPr="006D6BD6">
        <w:rPr>
          <w:b/>
        </w:rPr>
        <w:t>€ 441.704,83</w:t>
      </w:r>
      <w:r w:rsidR="006D6BD6">
        <w:t>. Tale procedura è stata effettuato di concerto con i responsabili dei settori e validamente asseverato dal Collegio dei Revisori, che hanno espresso il</w:t>
      </w:r>
      <w:r w:rsidR="00C722EA">
        <w:t xml:space="preserve"> </w:t>
      </w:r>
      <w:r w:rsidR="006D6BD6">
        <w:t>proprio parere favorevole alla proposta deliberativa della Giunta Municipale</w:t>
      </w:r>
      <w:r w:rsidR="006D6BD6">
        <w:rPr>
          <w:bCs/>
        </w:rPr>
        <w:t xml:space="preserve"> </w:t>
      </w:r>
    </w:p>
    <w:p w:rsidR="008A67AF" w:rsidRPr="008A67AF" w:rsidRDefault="008A67AF" w:rsidP="008A67AF">
      <w:pPr>
        <w:pStyle w:val="Paragrafoelenco"/>
        <w:autoSpaceDE w:val="0"/>
        <w:autoSpaceDN w:val="0"/>
        <w:adjustRightInd w:val="0"/>
        <w:spacing w:after="200" w:line="276" w:lineRule="auto"/>
        <w:contextualSpacing/>
        <w:jc w:val="both"/>
        <w:rPr>
          <w:bCs/>
        </w:rPr>
      </w:pPr>
    </w:p>
    <w:p w:rsidR="00A460F3" w:rsidRPr="00A460F3" w:rsidRDefault="00A460F3" w:rsidP="00F92DD6">
      <w:pPr>
        <w:numPr>
          <w:ilvl w:val="0"/>
          <w:numId w:val="1"/>
        </w:numPr>
        <w:jc w:val="both"/>
        <w:rPr>
          <w:b/>
        </w:rPr>
      </w:pPr>
      <w:r>
        <w:rPr>
          <w:b/>
        </w:rPr>
        <w:t>E</w:t>
      </w:r>
      <w:r w:rsidRPr="00A460F3">
        <w:rPr>
          <w:b/>
        </w:rPr>
        <w:t>ntrate e spese aventi carattere non ripetitivo:</w:t>
      </w:r>
    </w:p>
    <w:p w:rsidR="00F92DD6" w:rsidRDefault="00F92DD6" w:rsidP="00A460F3">
      <w:pPr>
        <w:ind w:left="142"/>
        <w:jc w:val="both"/>
      </w:pPr>
      <w:r w:rsidRPr="002D5D94">
        <w:t xml:space="preserve">Per quanto riguarda lo squilibrio tra entrate e spese aventi carattere non ripetitivo si </w:t>
      </w:r>
      <w:r w:rsidR="002D5D94" w:rsidRPr="002D5D94">
        <w:t xml:space="preserve">ribadisce </w:t>
      </w:r>
      <w:r w:rsidRPr="002D5D94">
        <w:t xml:space="preserve"> che del totale delle entrate pari ad  € 199.567,28   la somma di € 170.967,28 quale contributo </w:t>
      </w:r>
      <w:r w:rsidR="00C722EA">
        <w:t xml:space="preserve">per </w:t>
      </w:r>
      <w:r w:rsidRPr="002D5D94">
        <w:t>permesso di costruire è stata</w:t>
      </w:r>
      <w:r w:rsidR="002D5D94" w:rsidRPr="002D5D94">
        <w:t xml:space="preserve"> </w:t>
      </w:r>
      <w:r w:rsidRPr="002D5D94">
        <w:t>erroneamente indicata dal collegio dei revisori quale risorsa in c/capitale destinata a finanziare spesa corrente in quanto in effetti finanzia spesa in c/capitale</w:t>
      </w:r>
      <w:r w:rsidR="00C722EA">
        <w:t xml:space="preserve">, con esatta imputazione nel Bilancio di previsione </w:t>
      </w:r>
      <w:r w:rsidRPr="002D5D94">
        <w:t>;  del totale delle uscite pari ad € 465.888,34 la somma</w:t>
      </w:r>
      <w:r>
        <w:t xml:space="preserve"> di € 99.993,48 è relativa a debiti fuori bilancio finanziati per € 28.600,00 con le entrate straordinarie relative a sanzioni al c.d.s. ed in parte con entrate correnti, la rimanente somma di € 365.894,86 si riferisce alla quota di competenza dell’Ente per  alimentazione del fondo di solidarietà comunale ed erroneamente annoverata tra gli oneri straordinari della gestione corrente.</w:t>
      </w:r>
      <w:r w:rsidR="00C722EA">
        <w:t xml:space="preserve"> Per quest’ultima fattispecie nell’esercizio successivo si è provveduto all’esatta allocazione in bilancio.</w:t>
      </w:r>
    </w:p>
    <w:p w:rsidR="00323099" w:rsidRDefault="00323099" w:rsidP="00323099">
      <w:pPr>
        <w:ind w:left="142"/>
        <w:jc w:val="both"/>
      </w:pPr>
    </w:p>
    <w:p w:rsidR="00FB4FC0" w:rsidRPr="00416935" w:rsidRDefault="00FB4FC0" w:rsidP="00FB4FC0">
      <w:pPr>
        <w:numPr>
          <w:ilvl w:val="0"/>
          <w:numId w:val="1"/>
        </w:numPr>
        <w:rPr>
          <w:rFonts w:eastAsia="Times New Roman"/>
          <w:lang w:eastAsia="it-IT"/>
        </w:rPr>
      </w:pPr>
      <w:r w:rsidRPr="00416935">
        <w:rPr>
          <w:rFonts w:eastAsia="Times New Roman"/>
          <w:b/>
          <w:lang w:eastAsia="it-IT"/>
        </w:rPr>
        <w:t>Ricorso all’anticipazione di cassa</w:t>
      </w:r>
      <w:r w:rsidRPr="00416935">
        <w:rPr>
          <w:rFonts w:eastAsia="Times New Roman"/>
          <w:lang w:eastAsia="it-IT"/>
        </w:rPr>
        <w:t xml:space="preserve">: </w:t>
      </w:r>
    </w:p>
    <w:p w:rsidR="00BE7942" w:rsidRDefault="008B7465" w:rsidP="00C722EA">
      <w:pPr>
        <w:ind w:left="426"/>
        <w:jc w:val="both"/>
        <w:rPr>
          <w:rFonts w:eastAsia="Times New Roman"/>
          <w:lang w:eastAsia="it-IT"/>
        </w:rPr>
      </w:pPr>
      <w:r w:rsidRPr="00416935">
        <w:rPr>
          <w:rFonts w:eastAsia="Times New Roman"/>
          <w:lang w:eastAsia="it-IT"/>
        </w:rPr>
        <w:t xml:space="preserve">Il costante ricorso all’anticipazione di cassa si è reso necessario per asseverare i pagamenti nei confronti dei creditori al fine di evitare </w:t>
      </w:r>
      <w:r w:rsidR="00C722EA">
        <w:rPr>
          <w:rFonts w:eastAsia="Times New Roman"/>
          <w:lang w:eastAsia="it-IT"/>
        </w:rPr>
        <w:t>danni certi ed irreparabili da parte dei creditori. Infatti si è avuto modo di constatare che spesso i creditori non esitano ad avviare le procedure per ingiungere l’amministrazione comunale al pagamento di quanto dovuto, arrecando maggiori oneri alle casse comunali. Per arginare il fenomeno si è provveduto, appunto, ad utilizzare l’anticipazione di cassa.</w:t>
      </w:r>
      <w:r w:rsidRPr="00416935">
        <w:rPr>
          <w:rFonts w:eastAsia="Times New Roman"/>
          <w:lang w:eastAsia="it-IT"/>
        </w:rPr>
        <w:t xml:space="preserve">  </w:t>
      </w:r>
      <w:r w:rsidR="00C722EA">
        <w:rPr>
          <w:rFonts w:eastAsia="Times New Roman"/>
          <w:lang w:eastAsia="it-IT"/>
        </w:rPr>
        <w:t>L</w:t>
      </w:r>
      <w:r w:rsidRPr="00416935">
        <w:rPr>
          <w:rFonts w:eastAsia="Times New Roman"/>
          <w:lang w:eastAsia="it-IT"/>
        </w:rPr>
        <w:t>a criticità</w:t>
      </w:r>
      <w:r w:rsidR="00C722EA">
        <w:rPr>
          <w:rFonts w:eastAsia="Times New Roman"/>
          <w:lang w:eastAsia="it-IT"/>
        </w:rPr>
        <w:t xml:space="preserve"> di che trattasi </w:t>
      </w:r>
      <w:r>
        <w:rPr>
          <w:rFonts w:eastAsia="Times New Roman"/>
          <w:lang w:eastAsia="it-IT"/>
        </w:rPr>
        <w:t xml:space="preserve"> si concretizza essenzialmente  per i  mancat</w:t>
      </w:r>
      <w:r w:rsidR="005770E6">
        <w:rPr>
          <w:rFonts w:eastAsia="Times New Roman"/>
          <w:lang w:eastAsia="it-IT"/>
        </w:rPr>
        <w:t>i</w:t>
      </w:r>
      <w:r>
        <w:rPr>
          <w:rFonts w:eastAsia="Times New Roman"/>
          <w:lang w:eastAsia="it-IT"/>
        </w:rPr>
        <w:t xml:space="preserve"> incassi dei tributi comunali e per </w:t>
      </w:r>
      <w:r w:rsidR="00C722EA">
        <w:rPr>
          <w:rFonts w:eastAsia="Times New Roman"/>
          <w:lang w:eastAsia="it-IT"/>
        </w:rPr>
        <w:t>ritardo</w:t>
      </w:r>
      <w:r>
        <w:rPr>
          <w:rFonts w:eastAsia="Times New Roman"/>
          <w:lang w:eastAsia="it-IT"/>
        </w:rPr>
        <w:t xml:space="preserve"> dei tra</w:t>
      </w:r>
      <w:r w:rsidR="00C722EA">
        <w:rPr>
          <w:rFonts w:eastAsia="Times New Roman"/>
          <w:lang w:eastAsia="it-IT"/>
        </w:rPr>
        <w:t xml:space="preserve">sferimenti erariali e regionali. Infine si è avuto modo di accertare che gli oneri afferenti gli interessi passivi da corrispondere alla Tesoreria comunale sono di gran lunga inferiore ai maggiori oneri </w:t>
      </w:r>
      <w:r w:rsidR="00BE7942">
        <w:rPr>
          <w:rFonts w:eastAsia="Times New Roman"/>
          <w:lang w:eastAsia="it-IT"/>
        </w:rPr>
        <w:t>d</w:t>
      </w:r>
      <w:r w:rsidR="00C722EA">
        <w:rPr>
          <w:rFonts w:eastAsia="Times New Roman"/>
          <w:lang w:eastAsia="it-IT"/>
        </w:rPr>
        <w:t xml:space="preserve">a </w:t>
      </w:r>
      <w:r w:rsidR="00BE7942">
        <w:rPr>
          <w:rFonts w:eastAsia="Times New Roman"/>
          <w:lang w:eastAsia="it-IT"/>
        </w:rPr>
        <w:t>corrispondere per le vertenze giudiziarie. Resta inteso, in questa sede, che sarà cura di questa Amministrazione, di concerto con il Servizio finanziario, di un corretto monitoraggio dei flussi di cassa.</w:t>
      </w:r>
    </w:p>
    <w:p w:rsidR="00416935" w:rsidRDefault="00C722EA" w:rsidP="00C722EA">
      <w:pPr>
        <w:ind w:left="426"/>
        <w:jc w:val="both"/>
        <w:rPr>
          <w:rFonts w:eastAsia="Times New Roman"/>
          <w:lang w:eastAsia="it-IT"/>
        </w:rPr>
      </w:pPr>
      <w:r>
        <w:rPr>
          <w:rFonts w:eastAsia="Times New Roman"/>
          <w:lang w:eastAsia="it-IT"/>
        </w:rPr>
        <w:t xml:space="preserve"> </w:t>
      </w:r>
    </w:p>
    <w:p w:rsidR="00BE7942" w:rsidRDefault="00BE7942" w:rsidP="00BE7942">
      <w:pPr>
        <w:ind w:left="502"/>
        <w:jc w:val="both"/>
        <w:rPr>
          <w:b/>
        </w:rPr>
      </w:pPr>
    </w:p>
    <w:p w:rsidR="00BE7942" w:rsidRDefault="00BE7942" w:rsidP="00BE7942">
      <w:pPr>
        <w:ind w:left="502"/>
        <w:jc w:val="both"/>
        <w:rPr>
          <w:b/>
        </w:rPr>
      </w:pPr>
    </w:p>
    <w:p w:rsidR="00416935" w:rsidRDefault="00416935" w:rsidP="00416935">
      <w:pPr>
        <w:numPr>
          <w:ilvl w:val="0"/>
          <w:numId w:val="1"/>
        </w:numPr>
        <w:jc w:val="both"/>
        <w:rPr>
          <w:b/>
        </w:rPr>
      </w:pPr>
      <w:r w:rsidRPr="00323099">
        <w:rPr>
          <w:b/>
        </w:rPr>
        <w:lastRenderedPageBreak/>
        <w:t>Tempestività dei pagamenti</w:t>
      </w:r>
      <w:r>
        <w:rPr>
          <w:b/>
        </w:rPr>
        <w:t>:</w:t>
      </w:r>
    </w:p>
    <w:p w:rsidR="00416935" w:rsidRDefault="00416935" w:rsidP="00416935">
      <w:pPr>
        <w:ind w:left="567" w:hanging="425"/>
        <w:jc w:val="both"/>
      </w:pPr>
      <w:r>
        <w:t xml:space="preserve">      In merito alla tempestività dei pagamenti si rappresenta che</w:t>
      </w:r>
      <w:r w:rsidR="003971A7">
        <w:t xml:space="preserve"> per</w:t>
      </w:r>
      <w:r>
        <w:t xml:space="preserve"> i debiti certi, liquidi ed esigibili  maturati al 31/12/2012</w:t>
      </w:r>
      <w:r w:rsidR="003971A7">
        <w:t xml:space="preserve"> si è attivata la procedura prevista dal D.L.35/2013.  Le somme riscosse dall’Ente dalla Cassa DD.e PP. Sono state effettuate in due trance: la prima di € 74.588,69 in data </w:t>
      </w:r>
      <w:r w:rsidR="00C56F71">
        <w:t>28.06.2013 ed il saldo pari ad € 74.588,69 in data 27.12.2013. I crediti afferenti il suddetto importo sono stati tutti estinti con i suddetti fondi mentre per la quota residua di € 89.502,69 si è fatto fronte con le risorse proprie</w:t>
      </w:r>
      <w:r>
        <w:t>.</w:t>
      </w:r>
    </w:p>
    <w:p w:rsidR="00416935" w:rsidRDefault="00416935" w:rsidP="00416935">
      <w:pPr>
        <w:ind w:left="567" w:hanging="425"/>
        <w:jc w:val="both"/>
      </w:pPr>
    </w:p>
    <w:p w:rsidR="00416935" w:rsidRDefault="00416935" w:rsidP="00416935">
      <w:pPr>
        <w:numPr>
          <w:ilvl w:val="0"/>
          <w:numId w:val="18"/>
        </w:numPr>
        <w:ind w:left="284" w:hanging="142"/>
        <w:jc w:val="both"/>
        <w:rPr>
          <w:b/>
        </w:rPr>
      </w:pPr>
      <w:r w:rsidRPr="00416935">
        <w:rPr>
          <w:b/>
        </w:rPr>
        <w:t>Recupero evasione tributaria</w:t>
      </w:r>
      <w:r>
        <w:rPr>
          <w:b/>
        </w:rPr>
        <w:t>:</w:t>
      </w:r>
    </w:p>
    <w:p w:rsidR="00416935" w:rsidRDefault="00416935" w:rsidP="00416935">
      <w:pPr>
        <w:pStyle w:val="Paragrafoelenco"/>
        <w:numPr>
          <w:ilvl w:val="0"/>
          <w:numId w:val="17"/>
        </w:numPr>
        <w:autoSpaceDE w:val="0"/>
        <w:autoSpaceDN w:val="0"/>
        <w:adjustRightInd w:val="0"/>
        <w:spacing w:after="200" w:line="276" w:lineRule="auto"/>
        <w:ind w:left="0"/>
        <w:contextualSpacing/>
        <w:jc w:val="both"/>
        <w:rPr>
          <w:bCs/>
        </w:rPr>
      </w:pPr>
      <w:r w:rsidRPr="00E95B4D">
        <w:rPr>
          <w:szCs w:val="28"/>
        </w:rPr>
        <w:t>Per quanto riguarda l’attività di recupero dell’evasione tributaria</w:t>
      </w:r>
      <w:r>
        <w:rPr>
          <w:szCs w:val="28"/>
        </w:rPr>
        <w:t xml:space="preserve"> l’A.C. ha incrementato l’attività di accertamento e di repressione all’evasione tributaria </w:t>
      </w:r>
      <w:r>
        <w:rPr>
          <w:rFonts w:eastAsia="Times New Roman"/>
          <w:lang w:eastAsia="it-IT"/>
        </w:rPr>
        <w:t xml:space="preserve">con l’ </w:t>
      </w:r>
      <w:r>
        <w:t xml:space="preserve">avvio di </w:t>
      </w:r>
      <w:r w:rsidRPr="00FD12E3">
        <w:t xml:space="preserve"> misure urgenti per consentire la riscossione dei tributi anche con i sistemi coattivi</w:t>
      </w:r>
      <w:r>
        <w:t xml:space="preserve"> </w:t>
      </w:r>
      <w:r>
        <w:rPr>
          <w:rFonts w:eastAsia="Times New Roman"/>
          <w:lang w:eastAsia="it-IT"/>
        </w:rPr>
        <w:t>affidando l’incarico ad un soggetto esterno abilitato per  la riscossione coattiva,</w:t>
      </w:r>
      <w:r w:rsidRPr="008A67AF">
        <w:t xml:space="preserve"> </w:t>
      </w:r>
      <w:r>
        <w:t xml:space="preserve">attraverso </w:t>
      </w:r>
      <w:r w:rsidRPr="008A67AF">
        <w:rPr>
          <w:bCs/>
        </w:rPr>
        <w:t>procediment</w:t>
      </w:r>
      <w:r>
        <w:rPr>
          <w:bCs/>
        </w:rPr>
        <w:t xml:space="preserve">i </w:t>
      </w:r>
      <w:r w:rsidRPr="008A67AF">
        <w:rPr>
          <w:bCs/>
        </w:rPr>
        <w:t>amministrativ</w:t>
      </w:r>
      <w:r>
        <w:rPr>
          <w:bCs/>
        </w:rPr>
        <w:t>i</w:t>
      </w:r>
      <w:r w:rsidRPr="008A67AF">
        <w:rPr>
          <w:bCs/>
        </w:rPr>
        <w:t xml:space="preserve"> da eseguire tramite lo strumento ex. RD 639/10</w:t>
      </w:r>
      <w:r w:rsidR="00516DCA">
        <w:rPr>
          <w:bCs/>
        </w:rPr>
        <w:t>, come già detto al punto 2</w:t>
      </w:r>
      <w:r>
        <w:rPr>
          <w:bCs/>
        </w:rPr>
        <w:t>.</w:t>
      </w:r>
      <w:r w:rsidR="00C56F71">
        <w:rPr>
          <w:bCs/>
        </w:rPr>
        <w:t xml:space="preserve"> Tali attività hanno consentito di introitare nelle annualità  2014 e 2015  l’importo complessivo di entrate </w:t>
      </w:r>
      <w:r w:rsidR="00A130A5">
        <w:rPr>
          <w:bCs/>
        </w:rPr>
        <w:t>tributarie</w:t>
      </w:r>
      <w:r w:rsidR="00C56F71">
        <w:rPr>
          <w:bCs/>
        </w:rPr>
        <w:t xml:space="preserve"> pari ad € </w:t>
      </w:r>
      <w:r w:rsidR="00A130A5">
        <w:rPr>
          <w:bCs/>
        </w:rPr>
        <w:t>112.319,62.</w:t>
      </w:r>
      <w:r w:rsidR="00A4503C">
        <w:rPr>
          <w:bCs/>
        </w:rPr>
        <w:t xml:space="preserve"> Le iniziative intraprese continueranno per gli esercizi successivi monitorando periodicamente i flussi di cassa in entrata.</w:t>
      </w:r>
    </w:p>
    <w:p w:rsidR="00CC2FB6" w:rsidRPr="00A460F3" w:rsidRDefault="00CC2FB6" w:rsidP="00D40D12">
      <w:pPr>
        <w:numPr>
          <w:ilvl w:val="0"/>
          <w:numId w:val="2"/>
        </w:numPr>
        <w:autoSpaceDE w:val="0"/>
        <w:autoSpaceDN w:val="0"/>
        <w:adjustRightInd w:val="0"/>
        <w:ind w:left="142" w:firstLine="0"/>
        <w:jc w:val="both"/>
        <w:rPr>
          <w:rFonts w:eastAsia="Times New Roman"/>
          <w:b/>
          <w:lang w:eastAsia="it-IT"/>
        </w:rPr>
      </w:pPr>
      <w:r w:rsidRPr="00A460F3">
        <w:rPr>
          <w:rFonts w:eastAsia="Times New Roman"/>
          <w:b/>
          <w:lang w:eastAsia="it-IT"/>
        </w:rPr>
        <w:t>Riaccertamento Residui:</w:t>
      </w:r>
    </w:p>
    <w:p w:rsidR="00CC2FB6" w:rsidRDefault="00CC2FB6" w:rsidP="00A460F3">
      <w:pPr>
        <w:autoSpaceDE w:val="0"/>
        <w:autoSpaceDN w:val="0"/>
        <w:adjustRightInd w:val="0"/>
        <w:ind w:left="360"/>
        <w:jc w:val="both"/>
        <w:rPr>
          <w:rFonts w:eastAsia="Times New Roman"/>
          <w:lang w:eastAsia="it-IT"/>
        </w:rPr>
      </w:pPr>
      <w:r w:rsidRPr="009B285B">
        <w:rPr>
          <w:rFonts w:eastAsia="Times New Roman"/>
          <w:lang w:eastAsia="it-IT"/>
        </w:rPr>
        <w:t>In merito al riaccertamento dei residui attivi,</w:t>
      </w:r>
      <w:r w:rsidR="00C56F71">
        <w:rPr>
          <w:rFonts w:eastAsia="Times New Roman"/>
          <w:lang w:eastAsia="it-IT"/>
        </w:rPr>
        <w:t xml:space="preserve"> per come dettagliatamente descritto nel punto precedente, è stata effettuata in modo accurata, nel pi</w:t>
      </w:r>
      <w:r w:rsidR="00EB49B3">
        <w:rPr>
          <w:rFonts w:eastAsia="Times New Roman"/>
          <w:lang w:eastAsia="it-IT"/>
        </w:rPr>
        <w:t>eno</w:t>
      </w:r>
      <w:r w:rsidR="00C56F71">
        <w:rPr>
          <w:rFonts w:eastAsia="Times New Roman"/>
          <w:lang w:eastAsia="it-IT"/>
        </w:rPr>
        <w:t xml:space="preserve"> rispetto dei pri</w:t>
      </w:r>
      <w:r w:rsidR="00A4503C">
        <w:rPr>
          <w:rFonts w:eastAsia="Times New Roman"/>
          <w:lang w:eastAsia="it-IT"/>
        </w:rPr>
        <w:t>ncipi contenuti nel D.L.g.s. 118</w:t>
      </w:r>
      <w:r w:rsidR="00C56F71">
        <w:rPr>
          <w:rFonts w:eastAsia="Times New Roman"/>
          <w:lang w:eastAsia="it-IT"/>
        </w:rPr>
        <w:t xml:space="preserve">/2011. In particolare si è provveduto a cancellare una quota di Residui attivi pari ad € </w:t>
      </w:r>
      <w:r w:rsidR="00EB49B3">
        <w:rPr>
          <w:rFonts w:eastAsia="Times New Roman"/>
          <w:lang w:eastAsia="it-IT"/>
        </w:rPr>
        <w:t>62.136,05</w:t>
      </w:r>
      <w:r w:rsidR="00965B82">
        <w:rPr>
          <w:rFonts w:eastAsia="Times New Roman"/>
          <w:lang w:eastAsia="it-IT"/>
        </w:rPr>
        <w:t>. La verifica straordinaria ha consentito di posticipare l’anno di presunta riscossione negli esercizi di presunta esigibilità</w:t>
      </w:r>
      <w:r w:rsidR="009B285B">
        <w:rPr>
          <w:rFonts w:eastAsia="Times New Roman"/>
          <w:lang w:eastAsia="it-IT"/>
        </w:rPr>
        <w:t>.  Inoltre è stato creato nel bilancio il fondo crediti di dubbia esigibilità ammontante ad € 393.511,64.</w:t>
      </w:r>
      <w:r w:rsidR="00A4503C">
        <w:rPr>
          <w:rFonts w:eastAsia="Times New Roman"/>
          <w:lang w:eastAsia="it-IT"/>
        </w:rPr>
        <w:t xml:space="preserve"> Con atto giuntale n° </w:t>
      </w:r>
      <w:r w:rsidR="003400D7">
        <w:rPr>
          <w:rFonts w:eastAsia="Times New Roman"/>
          <w:lang w:eastAsia="it-IT"/>
        </w:rPr>
        <w:t>132</w:t>
      </w:r>
      <w:r w:rsidR="00A4503C">
        <w:rPr>
          <w:rFonts w:eastAsia="Times New Roman"/>
          <w:lang w:eastAsia="it-IT"/>
        </w:rPr>
        <w:t xml:space="preserve"> del </w:t>
      </w:r>
      <w:r w:rsidR="003400D7">
        <w:rPr>
          <w:rFonts w:eastAsia="Times New Roman"/>
          <w:lang w:eastAsia="it-IT"/>
        </w:rPr>
        <w:t>1409/2015</w:t>
      </w:r>
      <w:r w:rsidR="00A4503C">
        <w:rPr>
          <w:rFonts w:eastAsia="Times New Roman"/>
          <w:lang w:eastAsia="it-IT"/>
        </w:rPr>
        <w:t xml:space="preserve">  si è provveduto ad effettuare il riaccertamento straordinario secondo i principi contenuto del predetto D.L.g.s. 118/2011.</w:t>
      </w:r>
    </w:p>
    <w:p w:rsidR="00A460F3" w:rsidRDefault="00A460F3" w:rsidP="00A460F3">
      <w:pPr>
        <w:autoSpaceDE w:val="0"/>
        <w:autoSpaceDN w:val="0"/>
        <w:adjustRightInd w:val="0"/>
        <w:ind w:left="360"/>
        <w:jc w:val="both"/>
        <w:rPr>
          <w:rFonts w:eastAsia="Times New Roman"/>
          <w:lang w:eastAsia="it-IT"/>
        </w:rPr>
      </w:pPr>
    </w:p>
    <w:p w:rsidR="00A460F3" w:rsidRDefault="00A460F3" w:rsidP="00A460F3">
      <w:pPr>
        <w:ind w:left="360"/>
        <w:jc w:val="both"/>
        <w:rPr>
          <w:rFonts w:ascii="Bookman Old Style" w:hAnsi="Bookman Old Style" w:cs="Arial"/>
          <w:sz w:val="22"/>
          <w:szCs w:val="22"/>
        </w:rPr>
      </w:pPr>
    </w:p>
    <w:p w:rsidR="00A460F3" w:rsidRDefault="00A460F3" w:rsidP="00A460F3">
      <w:pPr>
        <w:numPr>
          <w:ilvl w:val="0"/>
          <w:numId w:val="18"/>
        </w:numPr>
        <w:jc w:val="both"/>
        <w:rPr>
          <w:rFonts w:ascii="Bookman Old Style" w:hAnsi="Bookman Old Style" w:cs="Arial"/>
          <w:b/>
          <w:sz w:val="22"/>
          <w:szCs w:val="22"/>
        </w:rPr>
      </w:pPr>
      <w:r>
        <w:rPr>
          <w:rFonts w:ascii="Bookman Old Style" w:hAnsi="Bookman Old Style" w:cs="Arial"/>
          <w:b/>
          <w:sz w:val="22"/>
          <w:szCs w:val="22"/>
        </w:rPr>
        <w:t xml:space="preserve"> </w:t>
      </w:r>
      <w:r w:rsidRPr="00E734BC">
        <w:rPr>
          <w:rFonts w:ascii="Bookman Old Style" w:hAnsi="Bookman Old Style" w:cs="Arial"/>
          <w:b/>
          <w:sz w:val="22"/>
          <w:szCs w:val="22"/>
        </w:rPr>
        <w:t>Spese di rappresentanza:</w:t>
      </w:r>
    </w:p>
    <w:p w:rsidR="00A460F3" w:rsidRPr="00A460F3" w:rsidRDefault="00A460F3" w:rsidP="00A460F3">
      <w:r w:rsidRPr="00A460F3">
        <w:t>In relazione al suddetto punto si precisa che se pur lo schema delle spese di rappresentanza è stato regolarmente predisposto (ed  ammonta ad un importo di appena € 200,00) , Tuttavia è stato effettivamente verificato che  non si è proceduto alla trasmissione alla sezione Regionale di controllo né alla pubblicazione sul sito Web dell’Ente. L’A.C. ha già sensibilizzato il responsabile ad adempire al suddetto obbligo.</w:t>
      </w:r>
      <w:r w:rsidR="00A4503C">
        <w:t xml:space="preserve"> Si da, comunque</w:t>
      </w:r>
      <w:r w:rsidR="003400D7">
        <w:t xml:space="preserve"> atto </w:t>
      </w:r>
      <w:r w:rsidR="00A4503C">
        <w:t xml:space="preserve">, che </w:t>
      </w:r>
      <w:r w:rsidR="003400D7">
        <w:t xml:space="preserve">si </w:t>
      </w:r>
      <w:r w:rsidR="00A4503C">
        <w:t xml:space="preserve"> provved</w:t>
      </w:r>
      <w:r w:rsidR="003400D7">
        <w:t>erà tempestivamente</w:t>
      </w:r>
      <w:r w:rsidR="00A4503C">
        <w:t xml:space="preserve"> alla pubblicazione nel sito istituzionale dell’Ente in prospetto di che trattasi.</w:t>
      </w:r>
    </w:p>
    <w:p w:rsidR="00A460F3" w:rsidRDefault="00A460F3" w:rsidP="00A460F3">
      <w:pPr>
        <w:autoSpaceDE w:val="0"/>
        <w:autoSpaceDN w:val="0"/>
        <w:adjustRightInd w:val="0"/>
        <w:ind w:left="360"/>
        <w:jc w:val="both"/>
        <w:rPr>
          <w:rFonts w:eastAsia="Times New Roman"/>
          <w:lang w:eastAsia="it-IT"/>
        </w:rPr>
      </w:pPr>
    </w:p>
    <w:p w:rsidR="00E734BC" w:rsidRDefault="00E734BC" w:rsidP="00E734BC">
      <w:pPr>
        <w:autoSpaceDE w:val="0"/>
        <w:autoSpaceDN w:val="0"/>
        <w:adjustRightInd w:val="0"/>
        <w:jc w:val="both"/>
        <w:rPr>
          <w:rFonts w:eastAsia="Times New Roman"/>
          <w:lang w:eastAsia="it-IT"/>
        </w:rPr>
      </w:pPr>
    </w:p>
    <w:p w:rsidR="00A460F3" w:rsidRDefault="00A460F3" w:rsidP="00A460F3">
      <w:pPr>
        <w:autoSpaceDE w:val="0"/>
        <w:autoSpaceDN w:val="0"/>
        <w:adjustRightInd w:val="0"/>
        <w:ind w:left="284"/>
        <w:jc w:val="both"/>
        <w:rPr>
          <w:rFonts w:eastAsia="Times New Roman"/>
          <w:b/>
          <w:lang w:eastAsia="it-IT"/>
        </w:rPr>
      </w:pPr>
    </w:p>
    <w:p w:rsidR="00A460F3" w:rsidRDefault="00A460F3" w:rsidP="00A460F3">
      <w:pPr>
        <w:autoSpaceDE w:val="0"/>
        <w:autoSpaceDN w:val="0"/>
        <w:adjustRightInd w:val="0"/>
        <w:ind w:left="284"/>
        <w:jc w:val="both"/>
        <w:rPr>
          <w:rFonts w:eastAsia="Times New Roman"/>
          <w:b/>
          <w:lang w:eastAsia="it-IT"/>
        </w:rPr>
      </w:pPr>
    </w:p>
    <w:p w:rsidR="00A460F3" w:rsidRDefault="00A460F3" w:rsidP="00A460F3">
      <w:pPr>
        <w:autoSpaceDE w:val="0"/>
        <w:autoSpaceDN w:val="0"/>
        <w:adjustRightInd w:val="0"/>
        <w:ind w:left="284"/>
        <w:jc w:val="both"/>
        <w:rPr>
          <w:rFonts w:eastAsia="Times New Roman"/>
          <w:b/>
          <w:lang w:eastAsia="it-IT"/>
        </w:rPr>
      </w:pPr>
    </w:p>
    <w:p w:rsidR="00E734BC" w:rsidRPr="00E734BC" w:rsidRDefault="00E734BC" w:rsidP="00E734BC">
      <w:pPr>
        <w:numPr>
          <w:ilvl w:val="0"/>
          <w:numId w:val="14"/>
        </w:numPr>
        <w:autoSpaceDE w:val="0"/>
        <w:autoSpaceDN w:val="0"/>
        <w:adjustRightInd w:val="0"/>
        <w:ind w:left="142" w:firstLine="0"/>
        <w:jc w:val="both"/>
        <w:rPr>
          <w:rFonts w:eastAsia="Times New Roman"/>
          <w:b/>
          <w:lang w:eastAsia="it-IT"/>
        </w:rPr>
      </w:pPr>
      <w:r w:rsidRPr="00E734BC">
        <w:rPr>
          <w:rFonts w:eastAsia="Times New Roman"/>
          <w:b/>
          <w:lang w:eastAsia="it-IT"/>
        </w:rPr>
        <w:t>Spesa per il personale:</w:t>
      </w:r>
    </w:p>
    <w:p w:rsidR="00E734BC" w:rsidRDefault="00E734BC" w:rsidP="00E734BC">
      <w:pPr>
        <w:ind w:left="360"/>
        <w:jc w:val="both"/>
        <w:rPr>
          <w:rFonts w:ascii="Bookman Old Style" w:hAnsi="Bookman Old Style" w:cs="Arial"/>
          <w:sz w:val="22"/>
          <w:szCs w:val="22"/>
        </w:rPr>
      </w:pPr>
      <w:r w:rsidRPr="00E734BC">
        <w:rPr>
          <w:rFonts w:eastAsia="Times New Roman"/>
          <w:lang w:eastAsia="it-IT"/>
        </w:rPr>
        <w:t>In merito alla spesa di personale  questo Ente nel 2015 con atto di Giunta Comunale n° 162 del 23 novembre ha proceduto alla ricognizione annuale delle eccedenze di personale  ai sensi dell’art. 33 del D.L.gvo 165/2001</w:t>
      </w:r>
      <w:r w:rsidRPr="00E734BC">
        <w:rPr>
          <w:rFonts w:ascii="Bookman Old Style" w:hAnsi="Bookman Old Style" w:cs="Arial"/>
          <w:sz w:val="22"/>
          <w:szCs w:val="22"/>
        </w:rPr>
        <w:t xml:space="preserve"> come modificato dall’art. 16, comma 1 della legge 12.12.2011, n. 183, e dalla quale  non risultano situazioni di soprannumero né di eccedenze di personale in relazione alle esigenze funzionali ed in relazione alla situazione finanziaria </w:t>
      </w:r>
      <w:r w:rsidRPr="00E734BC">
        <w:rPr>
          <w:rFonts w:ascii="Bookman Old Style" w:hAnsi="Bookman Old Style" w:cs="Arial"/>
          <w:sz w:val="22"/>
          <w:szCs w:val="22"/>
        </w:rPr>
        <w:lastRenderedPageBreak/>
        <w:t xml:space="preserve">dell’ente. </w:t>
      </w:r>
      <w:r w:rsidR="00A4503C">
        <w:rPr>
          <w:rFonts w:ascii="Bookman Old Style" w:hAnsi="Bookman Old Style" w:cs="Arial"/>
          <w:sz w:val="22"/>
          <w:szCs w:val="22"/>
        </w:rPr>
        <w:t>Altresì si conferma che non si è provveduto ad assumere personale a tempo indeterminato.</w:t>
      </w:r>
    </w:p>
    <w:p w:rsidR="00516DCA" w:rsidRPr="00516DCA" w:rsidRDefault="00516DCA" w:rsidP="00516DCA">
      <w:pPr>
        <w:autoSpaceDE w:val="0"/>
        <w:autoSpaceDN w:val="0"/>
        <w:adjustRightInd w:val="0"/>
        <w:ind w:left="360"/>
        <w:jc w:val="both"/>
        <w:rPr>
          <w:rFonts w:eastAsia="Times New Roman"/>
          <w:lang w:eastAsia="it-IT"/>
        </w:rPr>
      </w:pPr>
    </w:p>
    <w:p w:rsidR="00734A18" w:rsidRPr="00E734BC" w:rsidRDefault="00734A18" w:rsidP="00D40D12">
      <w:pPr>
        <w:numPr>
          <w:ilvl w:val="0"/>
          <w:numId w:val="2"/>
        </w:numPr>
        <w:autoSpaceDE w:val="0"/>
        <w:autoSpaceDN w:val="0"/>
        <w:adjustRightInd w:val="0"/>
        <w:ind w:left="142" w:firstLine="0"/>
        <w:jc w:val="both"/>
        <w:rPr>
          <w:rFonts w:eastAsia="Times New Roman"/>
          <w:lang w:eastAsia="it-IT"/>
        </w:rPr>
      </w:pPr>
      <w:r w:rsidRPr="00E734BC">
        <w:rPr>
          <w:rFonts w:eastAsia="Times New Roman"/>
          <w:b/>
          <w:lang w:eastAsia="it-IT"/>
        </w:rPr>
        <w:t>Debiti fuori bilancio</w:t>
      </w:r>
      <w:r w:rsidRPr="00E734BC">
        <w:rPr>
          <w:rFonts w:eastAsia="Times New Roman"/>
          <w:b/>
          <w:sz w:val="28"/>
          <w:szCs w:val="28"/>
          <w:lang w:eastAsia="it-IT"/>
        </w:rPr>
        <w:t xml:space="preserve">: </w:t>
      </w:r>
    </w:p>
    <w:p w:rsidR="00416935" w:rsidRPr="00E734BC" w:rsidRDefault="00416935" w:rsidP="00E734BC">
      <w:pPr>
        <w:autoSpaceDE w:val="0"/>
        <w:autoSpaceDN w:val="0"/>
        <w:adjustRightInd w:val="0"/>
        <w:ind w:left="360"/>
        <w:jc w:val="both"/>
        <w:rPr>
          <w:rFonts w:eastAsia="Times New Roman"/>
          <w:lang w:eastAsia="it-IT"/>
        </w:rPr>
      </w:pPr>
    </w:p>
    <w:p w:rsidR="00734A18" w:rsidRPr="00E734BC" w:rsidRDefault="00734A18" w:rsidP="00D40D12">
      <w:pPr>
        <w:autoSpaceDE w:val="0"/>
        <w:autoSpaceDN w:val="0"/>
        <w:adjustRightInd w:val="0"/>
        <w:ind w:left="426"/>
        <w:jc w:val="both"/>
        <w:rPr>
          <w:rFonts w:eastAsia="Times New Roman"/>
          <w:lang w:eastAsia="it-IT"/>
        </w:rPr>
      </w:pPr>
      <w:r w:rsidRPr="00E734BC">
        <w:rPr>
          <w:rFonts w:eastAsia="Times New Roman"/>
          <w:lang w:eastAsia="it-IT"/>
        </w:rPr>
        <w:t>Al riguardo l’Amministrazione comunale, pre</w:t>
      </w:r>
      <w:r w:rsidR="00D40D12" w:rsidRPr="00E734BC">
        <w:rPr>
          <w:rFonts w:eastAsia="Times New Roman"/>
          <w:lang w:eastAsia="it-IT"/>
        </w:rPr>
        <w:t xml:space="preserve">nde atto di quanto ribadito dalla Corte che la procedura di cui all’art. 194 TUEL deve avere carattere eccezionale pur ribadendo che i debiti riconosciuti  afferiscono a </w:t>
      </w:r>
      <w:r w:rsidRPr="00E734BC">
        <w:rPr>
          <w:rFonts w:eastAsia="Times New Roman"/>
          <w:lang w:eastAsia="it-IT"/>
        </w:rPr>
        <w:t>sentenze esecutive</w:t>
      </w:r>
      <w:r w:rsidR="00D40D12" w:rsidRPr="00E734BC">
        <w:rPr>
          <w:rFonts w:eastAsia="Times New Roman"/>
          <w:lang w:eastAsia="it-IT"/>
        </w:rPr>
        <w:t xml:space="preserve"> di procedimenti pregressi cui si doveva necessariamente dare corso</w:t>
      </w:r>
      <w:r w:rsidR="009B285B" w:rsidRPr="00E734BC">
        <w:rPr>
          <w:rFonts w:eastAsia="Times New Roman"/>
          <w:lang w:eastAsia="it-IT"/>
        </w:rPr>
        <w:t xml:space="preserve"> e che non esistono recenti posizioni debitorie </w:t>
      </w:r>
      <w:r w:rsidR="00E734BC" w:rsidRPr="00E734BC">
        <w:rPr>
          <w:rFonts w:eastAsia="Times New Roman"/>
          <w:lang w:eastAsia="it-IT"/>
        </w:rPr>
        <w:t>che possono essere annoverati tra i debiti fuori bilancio.</w:t>
      </w:r>
    </w:p>
    <w:p w:rsidR="00F20367" w:rsidRDefault="00F20367" w:rsidP="00D40D12">
      <w:pPr>
        <w:autoSpaceDE w:val="0"/>
        <w:autoSpaceDN w:val="0"/>
        <w:adjustRightInd w:val="0"/>
        <w:ind w:left="426" w:firstLine="774"/>
        <w:jc w:val="both"/>
        <w:rPr>
          <w:rFonts w:eastAsia="Times New Roman"/>
          <w:lang w:eastAsia="it-IT"/>
        </w:rPr>
      </w:pPr>
    </w:p>
    <w:p w:rsidR="00ED434D" w:rsidRDefault="00FF3CBA" w:rsidP="00ED434D">
      <w:pPr>
        <w:ind w:left="1200"/>
        <w:jc w:val="both"/>
        <w:rPr>
          <w:b/>
          <w:bCs/>
        </w:rPr>
      </w:pPr>
      <w:r>
        <w:rPr>
          <w:rFonts w:eastAsia="Times New Roman"/>
          <w:lang w:eastAsia="it-IT"/>
        </w:rPr>
        <w:t xml:space="preserve">Petrosino </w:t>
      </w:r>
      <w:r w:rsidR="00516DCA">
        <w:rPr>
          <w:rFonts w:eastAsia="Times New Roman"/>
          <w:lang w:eastAsia="it-IT"/>
        </w:rPr>
        <w:t>27</w:t>
      </w:r>
      <w:r w:rsidR="007A6DB5">
        <w:rPr>
          <w:rFonts w:eastAsia="Times New Roman"/>
          <w:lang w:eastAsia="it-IT"/>
        </w:rPr>
        <w:t>/</w:t>
      </w:r>
      <w:r w:rsidR="008B2B1A">
        <w:rPr>
          <w:rFonts w:eastAsia="Times New Roman"/>
          <w:lang w:eastAsia="it-IT"/>
        </w:rPr>
        <w:t>01</w:t>
      </w:r>
      <w:r w:rsidR="007A6DB5">
        <w:rPr>
          <w:rFonts w:eastAsia="Times New Roman"/>
          <w:lang w:eastAsia="it-IT"/>
        </w:rPr>
        <w:t>/201</w:t>
      </w:r>
      <w:r w:rsidR="008B2B1A">
        <w:rPr>
          <w:rFonts w:eastAsia="Times New Roman"/>
          <w:lang w:eastAsia="it-IT"/>
        </w:rPr>
        <w:t>6</w:t>
      </w:r>
      <w:r>
        <w:rPr>
          <w:b/>
          <w:bCs/>
        </w:rPr>
        <w:t xml:space="preserve">   </w:t>
      </w:r>
    </w:p>
    <w:p w:rsidR="00ED434D" w:rsidRDefault="00ED434D" w:rsidP="00ED434D">
      <w:pPr>
        <w:ind w:left="1200"/>
        <w:jc w:val="both"/>
        <w:rPr>
          <w:b/>
          <w:bCs/>
        </w:rPr>
      </w:pPr>
    </w:p>
    <w:p w:rsidR="00ED434D" w:rsidRDefault="00ED434D" w:rsidP="00ED434D">
      <w:pPr>
        <w:ind w:left="1200"/>
        <w:jc w:val="center"/>
        <w:rPr>
          <w:b/>
          <w:bCs/>
        </w:rPr>
      </w:pPr>
      <w:r>
        <w:rPr>
          <w:b/>
          <w:bCs/>
        </w:rPr>
        <w:t xml:space="preserve">                                                                            IL   SINDACO</w:t>
      </w:r>
    </w:p>
    <w:p w:rsidR="00ED434D" w:rsidRDefault="00ED434D" w:rsidP="00ED434D">
      <w:pPr>
        <w:ind w:left="1200"/>
        <w:jc w:val="both"/>
        <w:rPr>
          <w:b/>
          <w:bCs/>
        </w:rPr>
      </w:pPr>
      <w:r>
        <w:rPr>
          <w:b/>
          <w:bCs/>
        </w:rPr>
        <w:t xml:space="preserve">                                                                                       (Dott. Gaspare GIACALONE)           </w:t>
      </w:r>
    </w:p>
    <w:p w:rsidR="00ED434D" w:rsidRDefault="00ED434D" w:rsidP="00ED434D">
      <w:pPr>
        <w:ind w:left="1200"/>
        <w:jc w:val="both"/>
        <w:rPr>
          <w:b/>
          <w:bCs/>
        </w:rPr>
      </w:pPr>
    </w:p>
    <w:p w:rsidR="00ED434D" w:rsidRPr="00ED434D" w:rsidRDefault="00ED434D" w:rsidP="00ED434D">
      <w:pPr>
        <w:rPr>
          <w:b/>
          <w:bCs/>
          <w:sz w:val="22"/>
          <w:szCs w:val="22"/>
        </w:rPr>
      </w:pPr>
      <w:r w:rsidRPr="00ED434D">
        <w:rPr>
          <w:b/>
          <w:bCs/>
          <w:sz w:val="22"/>
          <w:szCs w:val="22"/>
        </w:rPr>
        <w:t xml:space="preserve">             IL DIRIGENTE DEL II° SETTORE</w:t>
      </w:r>
    </w:p>
    <w:p w:rsidR="00ED434D" w:rsidRPr="00ED434D" w:rsidRDefault="00ED434D" w:rsidP="00ED434D">
      <w:pPr>
        <w:ind w:firstLine="708"/>
        <w:rPr>
          <w:b/>
          <w:bCs/>
          <w:sz w:val="22"/>
          <w:szCs w:val="22"/>
        </w:rPr>
      </w:pPr>
      <w:r w:rsidRPr="00ED434D">
        <w:rPr>
          <w:b/>
          <w:bCs/>
          <w:sz w:val="22"/>
          <w:szCs w:val="22"/>
        </w:rPr>
        <w:t>FINANZIARIO E RISORSE UMANE</w:t>
      </w:r>
    </w:p>
    <w:p w:rsidR="00ED434D" w:rsidRPr="00ED434D" w:rsidRDefault="00ED434D" w:rsidP="00ED434D">
      <w:pPr>
        <w:ind w:firstLine="708"/>
        <w:rPr>
          <w:b/>
          <w:sz w:val="22"/>
          <w:szCs w:val="22"/>
        </w:rPr>
      </w:pPr>
      <w:r>
        <w:rPr>
          <w:b/>
          <w:sz w:val="22"/>
          <w:szCs w:val="22"/>
        </w:rPr>
        <w:t xml:space="preserve">    </w:t>
      </w:r>
      <w:r w:rsidRPr="00ED434D">
        <w:rPr>
          <w:b/>
          <w:sz w:val="22"/>
          <w:szCs w:val="22"/>
        </w:rPr>
        <w:t>(Rag.  Dorotea Giacalone)</w:t>
      </w:r>
    </w:p>
    <w:p w:rsidR="00ED434D" w:rsidRDefault="00ED434D" w:rsidP="00ED434D">
      <w:pPr>
        <w:ind w:left="1200"/>
        <w:rPr>
          <w:b/>
          <w:bCs/>
        </w:rPr>
      </w:pPr>
    </w:p>
    <w:sectPr w:rsidR="00ED434D" w:rsidSect="006830CD">
      <w:footerReference w:type="default" r:id="rId10"/>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69" w:rsidRDefault="00A01E69">
      <w:r>
        <w:separator/>
      </w:r>
    </w:p>
  </w:endnote>
  <w:endnote w:type="continuationSeparator" w:id="0">
    <w:p w:rsidR="00A01E69" w:rsidRDefault="00A0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BA" w:rsidRDefault="00A01E69">
    <w:pPr>
      <w:pStyle w:val="Pidipagina"/>
      <w:jc w:val="center"/>
    </w:pPr>
    <w:r>
      <w:fldChar w:fldCharType="begin"/>
    </w:r>
    <w:r>
      <w:instrText xml:space="preserve"> PAGE   \* MERGEFORMAT </w:instrText>
    </w:r>
    <w:r>
      <w:fldChar w:fldCharType="separate"/>
    </w:r>
    <w:r w:rsidR="002734ED">
      <w:rPr>
        <w:noProof/>
      </w:rPr>
      <w:t>1</w:t>
    </w:r>
    <w:r>
      <w:rPr>
        <w:noProof/>
      </w:rPr>
      <w:fldChar w:fldCharType="end"/>
    </w:r>
  </w:p>
  <w:p w:rsidR="00FF3CBA" w:rsidRDefault="00FF3C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69" w:rsidRDefault="00A01E69">
      <w:r>
        <w:separator/>
      </w:r>
    </w:p>
  </w:footnote>
  <w:footnote w:type="continuationSeparator" w:id="0">
    <w:p w:rsidR="00A01E69" w:rsidRDefault="00A01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09E"/>
    <w:multiLevelType w:val="hybridMultilevel"/>
    <w:tmpl w:val="4B7E789E"/>
    <w:lvl w:ilvl="0" w:tplc="04100009">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96B6E38"/>
    <w:multiLevelType w:val="hybridMultilevel"/>
    <w:tmpl w:val="F572AFCA"/>
    <w:lvl w:ilvl="0" w:tplc="4B347B6C">
      <w:start w:val="1"/>
      <w:numFmt w:val="bullet"/>
      <w:lvlText w:val=""/>
      <w:lvlJc w:val="left"/>
      <w:pPr>
        <w:ind w:left="720" w:hanging="360"/>
      </w:pPr>
      <w:rPr>
        <w:rFonts w:ascii="Wingdings" w:hAnsi="Wingdings" w:hint="default"/>
        <w:color w:val="0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C11413"/>
    <w:multiLevelType w:val="multilevel"/>
    <w:tmpl w:val="808E5540"/>
    <w:lvl w:ilvl="0">
      <w:start w:val="2"/>
      <w:numFmt w:val="lowerLetter"/>
      <w:lvlText w:val="%1)"/>
      <w:lvlJc w:val="left"/>
      <w:pPr>
        <w:tabs>
          <w:tab w:val="num" w:pos="1636"/>
        </w:tabs>
        <w:ind w:left="1636" w:hanging="360"/>
      </w:pPr>
      <w:rPr>
        <w:rFonts w:ascii="Times New Roman" w:hAnsi="Times New Roman" w:cs="Times New Roman" w:hint="default"/>
        <w:b/>
        <w:color w:val="auto"/>
      </w:rPr>
    </w:lvl>
    <w:lvl w:ilvl="1">
      <w:start w:val="1"/>
      <w:numFmt w:val="bullet"/>
      <w:lvlText w:val="o"/>
      <w:lvlJc w:val="left"/>
      <w:pPr>
        <w:tabs>
          <w:tab w:val="num" w:pos="1440"/>
        </w:tabs>
        <w:ind w:left="1440" w:hanging="360"/>
      </w:pPr>
      <w:rPr>
        <w:rFonts w:ascii="Courier New" w:hAnsi="Courier New" w:hint="default"/>
        <w:b/>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89B2ED6"/>
    <w:multiLevelType w:val="hybridMultilevel"/>
    <w:tmpl w:val="7094759C"/>
    <w:lvl w:ilvl="0" w:tplc="E01E8D0C">
      <w:start w:val="4"/>
      <w:numFmt w:val="bullet"/>
      <w:lvlText w:val="-"/>
      <w:lvlJc w:val="left"/>
      <w:pPr>
        <w:tabs>
          <w:tab w:val="num" w:pos="1065"/>
        </w:tabs>
        <w:ind w:left="1065" w:hanging="360"/>
      </w:pPr>
      <w:rPr>
        <w:rFonts w:ascii="Times New Roman" w:eastAsia="SimSun" w:hAnsi="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4">
    <w:nsid w:val="20C96CE6"/>
    <w:multiLevelType w:val="hybridMultilevel"/>
    <w:tmpl w:val="213C3F1E"/>
    <w:lvl w:ilvl="0" w:tplc="0410000F">
      <w:start w:val="1"/>
      <w:numFmt w:val="decimal"/>
      <w:lvlText w:val="%1."/>
      <w:lvlJc w:val="left"/>
      <w:pPr>
        <w:ind w:left="1845" w:hanging="360"/>
      </w:pPr>
      <w:rPr>
        <w:rFonts w:cs="Times New Roman"/>
      </w:rPr>
    </w:lvl>
    <w:lvl w:ilvl="1" w:tplc="04100019" w:tentative="1">
      <w:start w:val="1"/>
      <w:numFmt w:val="lowerLetter"/>
      <w:lvlText w:val="%2."/>
      <w:lvlJc w:val="left"/>
      <w:pPr>
        <w:ind w:left="2565" w:hanging="360"/>
      </w:pPr>
      <w:rPr>
        <w:rFonts w:cs="Times New Roman"/>
      </w:rPr>
    </w:lvl>
    <w:lvl w:ilvl="2" w:tplc="0410001B" w:tentative="1">
      <w:start w:val="1"/>
      <w:numFmt w:val="lowerRoman"/>
      <w:lvlText w:val="%3."/>
      <w:lvlJc w:val="right"/>
      <w:pPr>
        <w:ind w:left="3285" w:hanging="180"/>
      </w:pPr>
      <w:rPr>
        <w:rFonts w:cs="Times New Roman"/>
      </w:rPr>
    </w:lvl>
    <w:lvl w:ilvl="3" w:tplc="0410000F" w:tentative="1">
      <w:start w:val="1"/>
      <w:numFmt w:val="decimal"/>
      <w:lvlText w:val="%4."/>
      <w:lvlJc w:val="left"/>
      <w:pPr>
        <w:ind w:left="4005" w:hanging="360"/>
      </w:pPr>
      <w:rPr>
        <w:rFonts w:cs="Times New Roman"/>
      </w:rPr>
    </w:lvl>
    <w:lvl w:ilvl="4" w:tplc="04100019" w:tentative="1">
      <w:start w:val="1"/>
      <w:numFmt w:val="lowerLetter"/>
      <w:lvlText w:val="%5."/>
      <w:lvlJc w:val="left"/>
      <w:pPr>
        <w:ind w:left="4725" w:hanging="360"/>
      </w:pPr>
      <w:rPr>
        <w:rFonts w:cs="Times New Roman"/>
      </w:rPr>
    </w:lvl>
    <w:lvl w:ilvl="5" w:tplc="0410001B" w:tentative="1">
      <w:start w:val="1"/>
      <w:numFmt w:val="lowerRoman"/>
      <w:lvlText w:val="%6."/>
      <w:lvlJc w:val="right"/>
      <w:pPr>
        <w:ind w:left="5445" w:hanging="180"/>
      </w:pPr>
      <w:rPr>
        <w:rFonts w:cs="Times New Roman"/>
      </w:rPr>
    </w:lvl>
    <w:lvl w:ilvl="6" w:tplc="0410000F" w:tentative="1">
      <w:start w:val="1"/>
      <w:numFmt w:val="decimal"/>
      <w:lvlText w:val="%7."/>
      <w:lvlJc w:val="left"/>
      <w:pPr>
        <w:ind w:left="6165" w:hanging="360"/>
      </w:pPr>
      <w:rPr>
        <w:rFonts w:cs="Times New Roman"/>
      </w:rPr>
    </w:lvl>
    <w:lvl w:ilvl="7" w:tplc="04100019" w:tentative="1">
      <w:start w:val="1"/>
      <w:numFmt w:val="lowerLetter"/>
      <w:lvlText w:val="%8."/>
      <w:lvlJc w:val="left"/>
      <w:pPr>
        <w:ind w:left="6885" w:hanging="360"/>
      </w:pPr>
      <w:rPr>
        <w:rFonts w:cs="Times New Roman"/>
      </w:rPr>
    </w:lvl>
    <w:lvl w:ilvl="8" w:tplc="0410001B" w:tentative="1">
      <w:start w:val="1"/>
      <w:numFmt w:val="lowerRoman"/>
      <w:lvlText w:val="%9."/>
      <w:lvlJc w:val="right"/>
      <w:pPr>
        <w:ind w:left="7605" w:hanging="180"/>
      </w:pPr>
      <w:rPr>
        <w:rFonts w:cs="Times New Roman"/>
      </w:rPr>
    </w:lvl>
  </w:abstractNum>
  <w:abstractNum w:abstractNumId="5">
    <w:nsid w:val="221A6AEA"/>
    <w:multiLevelType w:val="hybridMultilevel"/>
    <w:tmpl w:val="D70A5D24"/>
    <w:lvl w:ilvl="0" w:tplc="F5F42B66">
      <w:start w:val="1"/>
      <w:numFmt w:val="bullet"/>
      <w:lvlText w:val=""/>
      <w:lvlJc w:val="left"/>
      <w:pPr>
        <w:ind w:left="502" w:hanging="360"/>
      </w:pPr>
      <w:rPr>
        <w:rFonts w:ascii="Wingdings" w:hAnsi="Wingdings" w:hint="default"/>
        <w:color w:val="auto"/>
      </w:rPr>
    </w:lvl>
    <w:lvl w:ilvl="1" w:tplc="ABFEC7EA">
      <w:start w:val="35"/>
      <w:numFmt w:val="bullet"/>
      <w:lvlText w:val="-"/>
      <w:lvlJc w:val="left"/>
      <w:pPr>
        <w:tabs>
          <w:tab w:val="num" w:pos="1222"/>
        </w:tabs>
        <w:ind w:left="1222" w:hanging="360"/>
      </w:pPr>
      <w:rPr>
        <w:rFonts w:ascii="Times New Roman" w:eastAsia="SimSun" w:hAnsi="Times New Roman"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nsid w:val="27354967"/>
    <w:multiLevelType w:val="hybridMultilevel"/>
    <w:tmpl w:val="1C02D5FC"/>
    <w:lvl w:ilvl="0" w:tplc="3F2E212A">
      <w:start w:val="1"/>
      <w:numFmt w:val="lowerLetter"/>
      <w:lvlText w:val="%1)"/>
      <w:lvlJc w:val="left"/>
      <w:pPr>
        <w:tabs>
          <w:tab w:val="num" w:pos="1636"/>
        </w:tabs>
        <w:ind w:left="1636" w:hanging="360"/>
      </w:pPr>
      <w:rPr>
        <w:rFonts w:ascii="Times New Roman" w:hAnsi="Times New Roman" w:cs="Times New Roman" w:hint="default"/>
        <w:b/>
        <w:color w:val="auto"/>
      </w:rPr>
    </w:lvl>
    <w:lvl w:ilvl="1" w:tplc="04100001">
      <w:start w:val="1"/>
      <w:numFmt w:val="bullet"/>
      <w:lvlText w:val=""/>
      <w:lvlJc w:val="left"/>
      <w:pPr>
        <w:tabs>
          <w:tab w:val="num" w:pos="2356"/>
        </w:tabs>
        <w:ind w:left="2356" w:hanging="360"/>
      </w:pPr>
      <w:rPr>
        <w:rFonts w:ascii="Symbol" w:hAnsi="Symbol" w:hint="default"/>
        <w:b/>
        <w:color w:val="auto"/>
      </w:rPr>
    </w:lvl>
    <w:lvl w:ilvl="2" w:tplc="0410001B" w:tentative="1">
      <w:start w:val="1"/>
      <w:numFmt w:val="lowerRoman"/>
      <w:lvlText w:val="%3."/>
      <w:lvlJc w:val="right"/>
      <w:pPr>
        <w:tabs>
          <w:tab w:val="num" w:pos="3076"/>
        </w:tabs>
        <w:ind w:left="3076" w:hanging="180"/>
      </w:pPr>
      <w:rPr>
        <w:rFonts w:cs="Times New Roman"/>
      </w:rPr>
    </w:lvl>
    <w:lvl w:ilvl="3" w:tplc="0410000F" w:tentative="1">
      <w:start w:val="1"/>
      <w:numFmt w:val="decimal"/>
      <w:lvlText w:val="%4."/>
      <w:lvlJc w:val="left"/>
      <w:pPr>
        <w:tabs>
          <w:tab w:val="num" w:pos="3796"/>
        </w:tabs>
        <w:ind w:left="3796" w:hanging="360"/>
      </w:pPr>
      <w:rPr>
        <w:rFonts w:cs="Times New Roman"/>
      </w:rPr>
    </w:lvl>
    <w:lvl w:ilvl="4" w:tplc="04100019" w:tentative="1">
      <w:start w:val="1"/>
      <w:numFmt w:val="lowerLetter"/>
      <w:lvlText w:val="%5."/>
      <w:lvlJc w:val="left"/>
      <w:pPr>
        <w:tabs>
          <w:tab w:val="num" w:pos="4516"/>
        </w:tabs>
        <w:ind w:left="4516" w:hanging="360"/>
      </w:pPr>
      <w:rPr>
        <w:rFonts w:cs="Times New Roman"/>
      </w:rPr>
    </w:lvl>
    <w:lvl w:ilvl="5" w:tplc="0410001B" w:tentative="1">
      <w:start w:val="1"/>
      <w:numFmt w:val="lowerRoman"/>
      <w:lvlText w:val="%6."/>
      <w:lvlJc w:val="right"/>
      <w:pPr>
        <w:tabs>
          <w:tab w:val="num" w:pos="5236"/>
        </w:tabs>
        <w:ind w:left="5236" w:hanging="180"/>
      </w:pPr>
      <w:rPr>
        <w:rFonts w:cs="Times New Roman"/>
      </w:rPr>
    </w:lvl>
    <w:lvl w:ilvl="6" w:tplc="0410000F" w:tentative="1">
      <w:start w:val="1"/>
      <w:numFmt w:val="decimal"/>
      <w:lvlText w:val="%7."/>
      <w:lvlJc w:val="left"/>
      <w:pPr>
        <w:tabs>
          <w:tab w:val="num" w:pos="5956"/>
        </w:tabs>
        <w:ind w:left="5956" w:hanging="360"/>
      </w:pPr>
      <w:rPr>
        <w:rFonts w:cs="Times New Roman"/>
      </w:rPr>
    </w:lvl>
    <w:lvl w:ilvl="7" w:tplc="04100019" w:tentative="1">
      <w:start w:val="1"/>
      <w:numFmt w:val="lowerLetter"/>
      <w:lvlText w:val="%8."/>
      <w:lvlJc w:val="left"/>
      <w:pPr>
        <w:tabs>
          <w:tab w:val="num" w:pos="6676"/>
        </w:tabs>
        <w:ind w:left="6676" w:hanging="360"/>
      </w:pPr>
      <w:rPr>
        <w:rFonts w:cs="Times New Roman"/>
      </w:rPr>
    </w:lvl>
    <w:lvl w:ilvl="8" w:tplc="0410001B" w:tentative="1">
      <w:start w:val="1"/>
      <w:numFmt w:val="lowerRoman"/>
      <w:lvlText w:val="%9."/>
      <w:lvlJc w:val="right"/>
      <w:pPr>
        <w:tabs>
          <w:tab w:val="num" w:pos="7396"/>
        </w:tabs>
        <w:ind w:left="7396" w:hanging="180"/>
      </w:pPr>
      <w:rPr>
        <w:rFonts w:cs="Times New Roman"/>
      </w:rPr>
    </w:lvl>
  </w:abstractNum>
  <w:abstractNum w:abstractNumId="7">
    <w:nsid w:val="317A6390"/>
    <w:multiLevelType w:val="hybridMultilevel"/>
    <w:tmpl w:val="269A484A"/>
    <w:lvl w:ilvl="0" w:tplc="00000003">
      <w:start w:val="1"/>
      <w:numFmt w:val="bullet"/>
      <w:lvlText w:val=""/>
      <w:lvlJc w:val="left"/>
      <w:pPr>
        <w:ind w:left="720" w:hanging="360"/>
      </w:pPr>
      <w:rPr>
        <w:rFonts w:ascii="Wingdings" w:hAnsi="Wingdings" w:cs="Wingdings"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FB16B8"/>
    <w:multiLevelType w:val="hybridMultilevel"/>
    <w:tmpl w:val="8A209156"/>
    <w:lvl w:ilvl="0" w:tplc="00000003">
      <w:start w:val="1"/>
      <w:numFmt w:val="bullet"/>
      <w:lvlText w:val=""/>
      <w:lvlJc w:val="left"/>
      <w:pPr>
        <w:ind w:left="862" w:hanging="360"/>
      </w:pPr>
      <w:rPr>
        <w:rFonts w:ascii="Wingdings" w:hAnsi="Wingdings" w:cs="Wingdings"/>
        <w:color w:val="000000"/>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34666802"/>
    <w:multiLevelType w:val="hybridMultilevel"/>
    <w:tmpl w:val="D8EEC16E"/>
    <w:lvl w:ilvl="0" w:tplc="B440A5A2">
      <w:numFmt w:val="bullet"/>
      <w:lvlText w:val="-"/>
      <w:lvlJc w:val="left"/>
      <w:pPr>
        <w:ind w:left="1065" w:hanging="360"/>
      </w:pPr>
      <w:rPr>
        <w:rFonts w:ascii="Times New Roman" w:eastAsia="SimSun" w:hAnsi="Times New Roman" w:hint="default"/>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0">
    <w:nsid w:val="4AFE2E69"/>
    <w:multiLevelType w:val="hybridMultilevel"/>
    <w:tmpl w:val="6664A7D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54033FD1"/>
    <w:multiLevelType w:val="hybridMultilevel"/>
    <w:tmpl w:val="11C2918A"/>
    <w:lvl w:ilvl="0" w:tplc="30CC51B4">
      <w:start w:val="2"/>
      <w:numFmt w:val="lowerLetter"/>
      <w:lvlText w:val="%1)"/>
      <w:lvlJc w:val="left"/>
      <w:pPr>
        <w:tabs>
          <w:tab w:val="num" w:pos="1636"/>
        </w:tabs>
        <w:ind w:left="1636" w:hanging="360"/>
      </w:pPr>
      <w:rPr>
        <w:rFonts w:ascii="Times New Roman" w:hAnsi="Times New Roman" w:cs="Times New Roman" w:hint="default"/>
        <w:b/>
        <w:color w:val="auto"/>
      </w:rPr>
    </w:lvl>
    <w:lvl w:ilvl="1" w:tplc="04100001">
      <w:start w:val="1"/>
      <w:numFmt w:val="bullet"/>
      <w:lvlText w:val=""/>
      <w:lvlJc w:val="left"/>
      <w:pPr>
        <w:tabs>
          <w:tab w:val="num" w:pos="2356"/>
        </w:tabs>
        <w:ind w:left="2356" w:hanging="360"/>
      </w:pPr>
      <w:rPr>
        <w:rFonts w:ascii="Symbol" w:hAnsi="Symbol" w:hint="default"/>
        <w:b/>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548A762F"/>
    <w:multiLevelType w:val="hybridMultilevel"/>
    <w:tmpl w:val="BA201406"/>
    <w:lvl w:ilvl="0" w:tplc="F5F42B66">
      <w:start w:val="1"/>
      <w:numFmt w:val="bullet"/>
      <w:lvlText w:val=""/>
      <w:lvlJc w:val="left"/>
      <w:pPr>
        <w:ind w:left="644" w:hanging="360"/>
      </w:pPr>
      <w:rPr>
        <w:rFonts w:ascii="Wingdings" w:hAnsi="Wingdings"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5BA50247"/>
    <w:multiLevelType w:val="multilevel"/>
    <w:tmpl w:val="1C02D5FC"/>
    <w:lvl w:ilvl="0">
      <w:start w:val="1"/>
      <w:numFmt w:val="lowerLetter"/>
      <w:lvlText w:val="%1)"/>
      <w:lvlJc w:val="left"/>
      <w:pPr>
        <w:tabs>
          <w:tab w:val="num" w:pos="1636"/>
        </w:tabs>
        <w:ind w:left="1636" w:hanging="360"/>
      </w:pPr>
      <w:rPr>
        <w:rFonts w:ascii="Times New Roman" w:hAnsi="Times New Roman" w:cs="Times New Roman" w:hint="default"/>
        <w:b/>
        <w:color w:val="auto"/>
      </w:rPr>
    </w:lvl>
    <w:lvl w:ilvl="1">
      <w:start w:val="1"/>
      <w:numFmt w:val="bullet"/>
      <w:lvlText w:val=""/>
      <w:lvlJc w:val="left"/>
      <w:pPr>
        <w:tabs>
          <w:tab w:val="num" w:pos="2356"/>
        </w:tabs>
        <w:ind w:left="2356" w:hanging="360"/>
      </w:pPr>
      <w:rPr>
        <w:rFonts w:ascii="Symbol" w:hAnsi="Symbol" w:hint="default"/>
        <w:b/>
        <w:color w:val="auto"/>
      </w:rPr>
    </w:lvl>
    <w:lvl w:ilvl="2">
      <w:start w:val="1"/>
      <w:numFmt w:val="lowerRoman"/>
      <w:lvlText w:val="%3."/>
      <w:lvlJc w:val="right"/>
      <w:pPr>
        <w:tabs>
          <w:tab w:val="num" w:pos="3076"/>
        </w:tabs>
        <w:ind w:left="3076" w:hanging="180"/>
      </w:pPr>
      <w:rPr>
        <w:rFonts w:cs="Times New Roman"/>
      </w:rPr>
    </w:lvl>
    <w:lvl w:ilvl="3">
      <w:start w:val="1"/>
      <w:numFmt w:val="decimal"/>
      <w:lvlText w:val="%4."/>
      <w:lvlJc w:val="left"/>
      <w:pPr>
        <w:tabs>
          <w:tab w:val="num" w:pos="3796"/>
        </w:tabs>
        <w:ind w:left="3796" w:hanging="360"/>
      </w:pPr>
      <w:rPr>
        <w:rFonts w:cs="Times New Roman"/>
      </w:rPr>
    </w:lvl>
    <w:lvl w:ilvl="4">
      <w:start w:val="1"/>
      <w:numFmt w:val="lowerLetter"/>
      <w:lvlText w:val="%5."/>
      <w:lvlJc w:val="left"/>
      <w:pPr>
        <w:tabs>
          <w:tab w:val="num" w:pos="4516"/>
        </w:tabs>
        <w:ind w:left="4516" w:hanging="360"/>
      </w:pPr>
      <w:rPr>
        <w:rFonts w:cs="Times New Roman"/>
      </w:rPr>
    </w:lvl>
    <w:lvl w:ilvl="5">
      <w:start w:val="1"/>
      <w:numFmt w:val="lowerRoman"/>
      <w:lvlText w:val="%6."/>
      <w:lvlJc w:val="right"/>
      <w:pPr>
        <w:tabs>
          <w:tab w:val="num" w:pos="5236"/>
        </w:tabs>
        <w:ind w:left="5236" w:hanging="180"/>
      </w:pPr>
      <w:rPr>
        <w:rFonts w:cs="Times New Roman"/>
      </w:rPr>
    </w:lvl>
    <w:lvl w:ilvl="6">
      <w:start w:val="1"/>
      <w:numFmt w:val="decimal"/>
      <w:lvlText w:val="%7."/>
      <w:lvlJc w:val="left"/>
      <w:pPr>
        <w:tabs>
          <w:tab w:val="num" w:pos="5956"/>
        </w:tabs>
        <w:ind w:left="5956" w:hanging="360"/>
      </w:pPr>
      <w:rPr>
        <w:rFonts w:cs="Times New Roman"/>
      </w:rPr>
    </w:lvl>
    <w:lvl w:ilvl="7">
      <w:start w:val="1"/>
      <w:numFmt w:val="lowerLetter"/>
      <w:lvlText w:val="%8."/>
      <w:lvlJc w:val="left"/>
      <w:pPr>
        <w:tabs>
          <w:tab w:val="num" w:pos="6676"/>
        </w:tabs>
        <w:ind w:left="6676" w:hanging="360"/>
      </w:pPr>
      <w:rPr>
        <w:rFonts w:cs="Times New Roman"/>
      </w:rPr>
    </w:lvl>
    <w:lvl w:ilvl="8">
      <w:start w:val="1"/>
      <w:numFmt w:val="lowerRoman"/>
      <w:lvlText w:val="%9."/>
      <w:lvlJc w:val="right"/>
      <w:pPr>
        <w:tabs>
          <w:tab w:val="num" w:pos="7396"/>
        </w:tabs>
        <w:ind w:left="7396" w:hanging="180"/>
      </w:pPr>
      <w:rPr>
        <w:rFonts w:cs="Times New Roman"/>
      </w:rPr>
    </w:lvl>
  </w:abstractNum>
  <w:abstractNum w:abstractNumId="14">
    <w:nsid w:val="5D54348B"/>
    <w:multiLevelType w:val="multilevel"/>
    <w:tmpl w:val="1C02D5FC"/>
    <w:lvl w:ilvl="0">
      <w:start w:val="1"/>
      <w:numFmt w:val="lowerLetter"/>
      <w:lvlText w:val="%1)"/>
      <w:lvlJc w:val="left"/>
      <w:pPr>
        <w:tabs>
          <w:tab w:val="num" w:pos="1636"/>
        </w:tabs>
        <w:ind w:left="1636" w:hanging="360"/>
      </w:pPr>
      <w:rPr>
        <w:rFonts w:ascii="Times New Roman" w:hAnsi="Times New Roman" w:cs="Times New Roman" w:hint="default"/>
        <w:b/>
        <w:color w:val="auto"/>
      </w:rPr>
    </w:lvl>
    <w:lvl w:ilvl="1">
      <w:start w:val="1"/>
      <w:numFmt w:val="bullet"/>
      <w:lvlText w:val=""/>
      <w:lvlJc w:val="left"/>
      <w:pPr>
        <w:tabs>
          <w:tab w:val="num" w:pos="2356"/>
        </w:tabs>
        <w:ind w:left="2356" w:hanging="360"/>
      </w:pPr>
      <w:rPr>
        <w:rFonts w:ascii="Symbol" w:hAnsi="Symbol" w:hint="default"/>
        <w:b/>
        <w:color w:val="auto"/>
      </w:rPr>
    </w:lvl>
    <w:lvl w:ilvl="2">
      <w:start w:val="1"/>
      <w:numFmt w:val="lowerRoman"/>
      <w:lvlText w:val="%3."/>
      <w:lvlJc w:val="right"/>
      <w:pPr>
        <w:tabs>
          <w:tab w:val="num" w:pos="3076"/>
        </w:tabs>
        <w:ind w:left="3076" w:hanging="180"/>
      </w:pPr>
      <w:rPr>
        <w:rFonts w:cs="Times New Roman"/>
      </w:rPr>
    </w:lvl>
    <w:lvl w:ilvl="3">
      <w:start w:val="1"/>
      <w:numFmt w:val="decimal"/>
      <w:lvlText w:val="%4."/>
      <w:lvlJc w:val="left"/>
      <w:pPr>
        <w:tabs>
          <w:tab w:val="num" w:pos="3796"/>
        </w:tabs>
        <w:ind w:left="3796" w:hanging="360"/>
      </w:pPr>
      <w:rPr>
        <w:rFonts w:cs="Times New Roman"/>
      </w:rPr>
    </w:lvl>
    <w:lvl w:ilvl="4">
      <w:start w:val="1"/>
      <w:numFmt w:val="lowerLetter"/>
      <w:lvlText w:val="%5."/>
      <w:lvlJc w:val="left"/>
      <w:pPr>
        <w:tabs>
          <w:tab w:val="num" w:pos="4516"/>
        </w:tabs>
        <w:ind w:left="4516" w:hanging="360"/>
      </w:pPr>
      <w:rPr>
        <w:rFonts w:cs="Times New Roman"/>
      </w:rPr>
    </w:lvl>
    <w:lvl w:ilvl="5">
      <w:start w:val="1"/>
      <w:numFmt w:val="lowerRoman"/>
      <w:lvlText w:val="%6."/>
      <w:lvlJc w:val="right"/>
      <w:pPr>
        <w:tabs>
          <w:tab w:val="num" w:pos="5236"/>
        </w:tabs>
        <w:ind w:left="5236" w:hanging="180"/>
      </w:pPr>
      <w:rPr>
        <w:rFonts w:cs="Times New Roman"/>
      </w:rPr>
    </w:lvl>
    <w:lvl w:ilvl="6">
      <w:start w:val="1"/>
      <w:numFmt w:val="decimal"/>
      <w:lvlText w:val="%7."/>
      <w:lvlJc w:val="left"/>
      <w:pPr>
        <w:tabs>
          <w:tab w:val="num" w:pos="5956"/>
        </w:tabs>
        <w:ind w:left="5956" w:hanging="360"/>
      </w:pPr>
      <w:rPr>
        <w:rFonts w:cs="Times New Roman"/>
      </w:rPr>
    </w:lvl>
    <w:lvl w:ilvl="7">
      <w:start w:val="1"/>
      <w:numFmt w:val="lowerLetter"/>
      <w:lvlText w:val="%8."/>
      <w:lvlJc w:val="left"/>
      <w:pPr>
        <w:tabs>
          <w:tab w:val="num" w:pos="6676"/>
        </w:tabs>
        <w:ind w:left="6676" w:hanging="360"/>
      </w:pPr>
      <w:rPr>
        <w:rFonts w:cs="Times New Roman"/>
      </w:rPr>
    </w:lvl>
    <w:lvl w:ilvl="8">
      <w:start w:val="1"/>
      <w:numFmt w:val="lowerRoman"/>
      <w:lvlText w:val="%9."/>
      <w:lvlJc w:val="right"/>
      <w:pPr>
        <w:tabs>
          <w:tab w:val="num" w:pos="7396"/>
        </w:tabs>
        <w:ind w:left="7396" w:hanging="180"/>
      </w:pPr>
      <w:rPr>
        <w:rFonts w:cs="Times New Roman"/>
      </w:rPr>
    </w:lvl>
  </w:abstractNum>
  <w:abstractNum w:abstractNumId="15">
    <w:nsid w:val="6BF02437"/>
    <w:multiLevelType w:val="hybridMultilevel"/>
    <w:tmpl w:val="1F0ECA4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3AE3975"/>
    <w:multiLevelType w:val="hybridMultilevel"/>
    <w:tmpl w:val="46628AAC"/>
    <w:lvl w:ilvl="0" w:tplc="179CFD62">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7C425067"/>
    <w:multiLevelType w:val="hybridMultilevel"/>
    <w:tmpl w:val="808E5540"/>
    <w:lvl w:ilvl="0" w:tplc="30CC51B4">
      <w:start w:val="2"/>
      <w:numFmt w:val="lowerLetter"/>
      <w:lvlText w:val="%1)"/>
      <w:lvlJc w:val="left"/>
      <w:pPr>
        <w:tabs>
          <w:tab w:val="num" w:pos="1636"/>
        </w:tabs>
        <w:ind w:left="1636" w:hanging="360"/>
      </w:pPr>
      <w:rPr>
        <w:rFonts w:ascii="Times New Roman" w:hAnsi="Times New Roman" w:cs="Times New Roman" w:hint="default"/>
        <w:b/>
        <w:color w:val="auto"/>
      </w:rPr>
    </w:lvl>
    <w:lvl w:ilvl="1" w:tplc="04100003">
      <w:start w:val="1"/>
      <w:numFmt w:val="bullet"/>
      <w:lvlText w:val="o"/>
      <w:lvlJc w:val="left"/>
      <w:pPr>
        <w:tabs>
          <w:tab w:val="num" w:pos="1440"/>
        </w:tabs>
        <w:ind w:left="1440" w:hanging="360"/>
      </w:pPr>
      <w:rPr>
        <w:rFonts w:ascii="Courier New" w:hAnsi="Courier New" w:hint="default"/>
        <w:b/>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0"/>
  </w:num>
  <w:num w:numId="4">
    <w:abstractNumId w:val="9"/>
  </w:num>
  <w:num w:numId="5">
    <w:abstractNumId w:val="3"/>
  </w:num>
  <w:num w:numId="6">
    <w:abstractNumId w:val="10"/>
  </w:num>
  <w:num w:numId="7">
    <w:abstractNumId w:val="6"/>
  </w:num>
  <w:num w:numId="8">
    <w:abstractNumId w:val="13"/>
  </w:num>
  <w:num w:numId="9">
    <w:abstractNumId w:val="14"/>
  </w:num>
  <w:num w:numId="10">
    <w:abstractNumId w:val="17"/>
  </w:num>
  <w:num w:numId="11">
    <w:abstractNumId w:val="2"/>
  </w:num>
  <w:num w:numId="12">
    <w:abstractNumId w:val="11"/>
  </w:num>
  <w:num w:numId="13">
    <w:abstractNumId w:val="4"/>
  </w:num>
  <w:num w:numId="14">
    <w:abstractNumId w:val="12"/>
  </w:num>
  <w:num w:numId="15">
    <w:abstractNumId w:val="15"/>
  </w:num>
  <w:num w:numId="16">
    <w:abstractNumId w:val="7"/>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BA"/>
    <w:rsid w:val="00007242"/>
    <w:rsid w:val="00044A6D"/>
    <w:rsid w:val="00073FEA"/>
    <w:rsid w:val="000D0E39"/>
    <w:rsid w:val="000F1F80"/>
    <w:rsid w:val="00117EA0"/>
    <w:rsid w:val="00125DE2"/>
    <w:rsid w:val="001B4E7D"/>
    <w:rsid w:val="001C0905"/>
    <w:rsid w:val="001D03FD"/>
    <w:rsid w:val="0020423A"/>
    <w:rsid w:val="002114EA"/>
    <w:rsid w:val="002734ED"/>
    <w:rsid w:val="002804F7"/>
    <w:rsid w:val="00284BA6"/>
    <w:rsid w:val="00292D61"/>
    <w:rsid w:val="002B5359"/>
    <w:rsid w:val="002D5D94"/>
    <w:rsid w:val="002E6B25"/>
    <w:rsid w:val="002F5833"/>
    <w:rsid w:val="003006B0"/>
    <w:rsid w:val="00323099"/>
    <w:rsid w:val="00332953"/>
    <w:rsid w:val="003400D7"/>
    <w:rsid w:val="00362618"/>
    <w:rsid w:val="003971A7"/>
    <w:rsid w:val="003C3177"/>
    <w:rsid w:val="003E00E6"/>
    <w:rsid w:val="0040085F"/>
    <w:rsid w:val="00410F65"/>
    <w:rsid w:val="00416935"/>
    <w:rsid w:val="00433DCF"/>
    <w:rsid w:val="00464288"/>
    <w:rsid w:val="004734CF"/>
    <w:rsid w:val="004B30AC"/>
    <w:rsid w:val="004B468E"/>
    <w:rsid w:val="004C681F"/>
    <w:rsid w:val="004E62D0"/>
    <w:rsid w:val="00516DCA"/>
    <w:rsid w:val="005669A5"/>
    <w:rsid w:val="005770E6"/>
    <w:rsid w:val="005840D5"/>
    <w:rsid w:val="005A468E"/>
    <w:rsid w:val="0060780D"/>
    <w:rsid w:val="00607924"/>
    <w:rsid w:val="00623525"/>
    <w:rsid w:val="006825E4"/>
    <w:rsid w:val="006830CD"/>
    <w:rsid w:val="006B57D3"/>
    <w:rsid w:val="006D1FAB"/>
    <w:rsid w:val="006D6BD6"/>
    <w:rsid w:val="006F744A"/>
    <w:rsid w:val="00722A11"/>
    <w:rsid w:val="007255F0"/>
    <w:rsid w:val="00734A18"/>
    <w:rsid w:val="00737784"/>
    <w:rsid w:val="0075101D"/>
    <w:rsid w:val="00766732"/>
    <w:rsid w:val="00777BFB"/>
    <w:rsid w:val="007974DD"/>
    <w:rsid w:val="007A6DB5"/>
    <w:rsid w:val="007E057F"/>
    <w:rsid w:val="00820A8E"/>
    <w:rsid w:val="008A67AF"/>
    <w:rsid w:val="008A7AF8"/>
    <w:rsid w:val="008B2B1A"/>
    <w:rsid w:val="008B7465"/>
    <w:rsid w:val="0090402F"/>
    <w:rsid w:val="00935D86"/>
    <w:rsid w:val="00944456"/>
    <w:rsid w:val="00945AF5"/>
    <w:rsid w:val="00960C30"/>
    <w:rsid w:val="00961764"/>
    <w:rsid w:val="00965B82"/>
    <w:rsid w:val="0097262F"/>
    <w:rsid w:val="009A3B16"/>
    <w:rsid w:val="009A6A3C"/>
    <w:rsid w:val="009B285B"/>
    <w:rsid w:val="009D3C43"/>
    <w:rsid w:val="00A01E69"/>
    <w:rsid w:val="00A130A5"/>
    <w:rsid w:val="00A4503C"/>
    <w:rsid w:val="00A460F3"/>
    <w:rsid w:val="00A803C1"/>
    <w:rsid w:val="00A879C7"/>
    <w:rsid w:val="00AB587C"/>
    <w:rsid w:val="00B01026"/>
    <w:rsid w:val="00B01210"/>
    <w:rsid w:val="00B862F5"/>
    <w:rsid w:val="00B91732"/>
    <w:rsid w:val="00B96AA7"/>
    <w:rsid w:val="00B97F67"/>
    <w:rsid w:val="00BB04DC"/>
    <w:rsid w:val="00BD0274"/>
    <w:rsid w:val="00BE7942"/>
    <w:rsid w:val="00C039DC"/>
    <w:rsid w:val="00C079CC"/>
    <w:rsid w:val="00C158E4"/>
    <w:rsid w:val="00C20E49"/>
    <w:rsid w:val="00C56F71"/>
    <w:rsid w:val="00C65C31"/>
    <w:rsid w:val="00C6676D"/>
    <w:rsid w:val="00C722EA"/>
    <w:rsid w:val="00C82B5D"/>
    <w:rsid w:val="00C84245"/>
    <w:rsid w:val="00C91A8C"/>
    <w:rsid w:val="00CB58F8"/>
    <w:rsid w:val="00CC2FB6"/>
    <w:rsid w:val="00D40D12"/>
    <w:rsid w:val="00D43C8E"/>
    <w:rsid w:val="00D7149A"/>
    <w:rsid w:val="00D72705"/>
    <w:rsid w:val="00DC4353"/>
    <w:rsid w:val="00E22916"/>
    <w:rsid w:val="00E734BC"/>
    <w:rsid w:val="00EA712E"/>
    <w:rsid w:val="00EB49B3"/>
    <w:rsid w:val="00EB7E58"/>
    <w:rsid w:val="00EC1183"/>
    <w:rsid w:val="00ED434D"/>
    <w:rsid w:val="00ED6D8B"/>
    <w:rsid w:val="00F20367"/>
    <w:rsid w:val="00F35035"/>
    <w:rsid w:val="00F54AC2"/>
    <w:rsid w:val="00F650F0"/>
    <w:rsid w:val="00F92DD6"/>
    <w:rsid w:val="00FB1CAA"/>
    <w:rsid w:val="00FB4FC0"/>
    <w:rsid w:val="00FE5501"/>
    <w:rsid w:val="00FE5A39"/>
    <w:rsid w:val="00FF3CBA"/>
    <w:rsid w:val="00FF5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4EA"/>
    <w:rPr>
      <w:rFonts w:eastAsia="SimSun"/>
      <w:sz w:val="24"/>
      <w:szCs w:val="24"/>
      <w:lang w:eastAsia="zh-CN"/>
    </w:rPr>
  </w:style>
  <w:style w:type="paragraph" w:styleId="Titolo1">
    <w:name w:val="heading 1"/>
    <w:basedOn w:val="Normale"/>
    <w:next w:val="Normale"/>
    <w:link w:val="Titolo1Carattere"/>
    <w:uiPriority w:val="99"/>
    <w:qFormat/>
    <w:rsid w:val="002114EA"/>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114EA"/>
    <w:rPr>
      <w:rFonts w:ascii="Cambria" w:hAnsi="Cambria" w:cs="Times New Roman"/>
      <w:b/>
      <w:bCs/>
      <w:kern w:val="32"/>
      <w:sz w:val="32"/>
      <w:szCs w:val="32"/>
      <w:lang w:eastAsia="zh-CN"/>
    </w:rPr>
  </w:style>
  <w:style w:type="paragraph" w:styleId="Testofumetto">
    <w:name w:val="Balloon Text"/>
    <w:basedOn w:val="Normale"/>
    <w:link w:val="TestofumettoCarattere"/>
    <w:uiPriority w:val="99"/>
    <w:semiHidden/>
    <w:rsid w:val="002114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114EA"/>
    <w:rPr>
      <w:rFonts w:ascii="Tahoma" w:eastAsia="SimSun" w:hAnsi="Tahoma" w:cs="Tahoma"/>
      <w:sz w:val="16"/>
      <w:szCs w:val="16"/>
      <w:lang w:eastAsia="zh-CN"/>
    </w:rPr>
  </w:style>
  <w:style w:type="paragraph" w:customStyle="1" w:styleId="Default">
    <w:name w:val="Default"/>
    <w:uiPriority w:val="99"/>
    <w:rsid w:val="002114EA"/>
    <w:pPr>
      <w:autoSpaceDE w:val="0"/>
      <w:autoSpaceDN w:val="0"/>
      <w:adjustRightInd w:val="0"/>
    </w:pPr>
    <w:rPr>
      <w:color w:val="000000"/>
      <w:sz w:val="24"/>
      <w:szCs w:val="24"/>
    </w:rPr>
  </w:style>
  <w:style w:type="paragraph" w:styleId="Pidipagina">
    <w:name w:val="footer"/>
    <w:basedOn w:val="Normale"/>
    <w:link w:val="PidipaginaCarattere"/>
    <w:uiPriority w:val="99"/>
    <w:rsid w:val="002114EA"/>
    <w:pPr>
      <w:tabs>
        <w:tab w:val="center" w:pos="4819"/>
        <w:tab w:val="right" w:pos="9638"/>
      </w:tabs>
    </w:pPr>
  </w:style>
  <w:style w:type="character" w:customStyle="1" w:styleId="PidipaginaCarattere">
    <w:name w:val="Piè di pagina Carattere"/>
    <w:basedOn w:val="Carpredefinitoparagrafo"/>
    <w:link w:val="Pidipagina"/>
    <w:uiPriority w:val="99"/>
    <w:locked/>
    <w:rsid w:val="002114EA"/>
    <w:rPr>
      <w:rFonts w:eastAsia="SimSun" w:cs="Times New Roman"/>
      <w:sz w:val="24"/>
      <w:szCs w:val="24"/>
      <w:lang w:eastAsia="zh-CN"/>
    </w:rPr>
  </w:style>
  <w:style w:type="paragraph" w:styleId="NormaleWeb">
    <w:name w:val="Normal (Web)"/>
    <w:basedOn w:val="Normale"/>
    <w:uiPriority w:val="99"/>
    <w:rsid w:val="002114EA"/>
    <w:pPr>
      <w:spacing w:before="100" w:beforeAutospacing="1" w:after="119"/>
    </w:pPr>
    <w:rPr>
      <w:rFonts w:eastAsia="Times New Roman"/>
      <w:lang w:eastAsia="it-IT"/>
    </w:rPr>
  </w:style>
  <w:style w:type="character" w:styleId="Collegamentoipertestuale">
    <w:name w:val="Hyperlink"/>
    <w:basedOn w:val="Carpredefinitoparagrafo"/>
    <w:uiPriority w:val="99"/>
    <w:semiHidden/>
    <w:rsid w:val="002114EA"/>
    <w:rPr>
      <w:rFonts w:cs="Times New Roman"/>
      <w:color w:val="0000FF"/>
      <w:u w:val="single"/>
    </w:rPr>
  </w:style>
  <w:style w:type="paragraph" w:styleId="Corpotesto">
    <w:name w:val="Body Text"/>
    <w:basedOn w:val="Normale"/>
    <w:link w:val="CorpotestoCarattere"/>
    <w:uiPriority w:val="99"/>
    <w:rsid w:val="002114EA"/>
    <w:pPr>
      <w:widowControl w:val="0"/>
      <w:spacing w:line="520" w:lineRule="exact"/>
      <w:jc w:val="both"/>
    </w:pPr>
    <w:rPr>
      <w:rFonts w:ascii="Courier New" w:eastAsia="Times New Roman" w:hAnsi="Courier New"/>
      <w:szCs w:val="20"/>
      <w:lang w:eastAsia="it-IT"/>
    </w:rPr>
  </w:style>
  <w:style w:type="character" w:customStyle="1" w:styleId="CorpotestoCarattere">
    <w:name w:val="Corpo testo Carattere"/>
    <w:basedOn w:val="Carpredefinitoparagrafo"/>
    <w:link w:val="Corpotesto"/>
    <w:uiPriority w:val="99"/>
    <w:locked/>
    <w:rsid w:val="002114EA"/>
    <w:rPr>
      <w:rFonts w:ascii="Courier New" w:hAnsi="Courier New" w:cs="Times New Roman"/>
      <w:sz w:val="24"/>
    </w:rPr>
  </w:style>
  <w:style w:type="paragraph" w:styleId="Paragrafoelenco">
    <w:name w:val="List Paragraph"/>
    <w:basedOn w:val="Normale"/>
    <w:uiPriority w:val="34"/>
    <w:qFormat/>
    <w:rsid w:val="002114EA"/>
    <w:pPr>
      <w:ind w:left="708"/>
    </w:pPr>
  </w:style>
  <w:style w:type="paragraph" w:styleId="Intestazione">
    <w:name w:val="header"/>
    <w:basedOn w:val="Normale"/>
    <w:link w:val="IntestazioneCarattere"/>
    <w:uiPriority w:val="99"/>
    <w:semiHidden/>
    <w:rsid w:val="002114E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114EA"/>
    <w:rPr>
      <w:rFonts w:eastAsia="SimSun" w:cs="Times New Roman"/>
      <w:sz w:val="24"/>
      <w:szCs w:val="24"/>
      <w:lang w:eastAsia="zh-CN"/>
    </w:rPr>
  </w:style>
  <w:style w:type="table" w:styleId="Grigliatabella">
    <w:name w:val="Table Grid"/>
    <w:basedOn w:val="Tabellanormale"/>
    <w:uiPriority w:val="99"/>
    <w:rsid w:val="00211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tf1NormalTable">
    <w:name w:val="rtf1 Normal Table"/>
    <w:uiPriority w:val="99"/>
    <w:semiHidden/>
    <w:unhideWhenUsed/>
    <w:qFormat/>
    <w:rsid w:val="00433DCF"/>
    <w:pPr>
      <w:spacing w:after="200" w:line="276" w:lineRule="auto"/>
    </w:pPr>
    <w:rPr>
      <w:rFonts w:ascii="Calibri" w:hAnsi="Calibri"/>
      <w:sz w:val="22"/>
      <w:szCs w:val="22"/>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4EA"/>
    <w:rPr>
      <w:rFonts w:eastAsia="SimSun"/>
      <w:sz w:val="24"/>
      <w:szCs w:val="24"/>
      <w:lang w:eastAsia="zh-CN"/>
    </w:rPr>
  </w:style>
  <w:style w:type="paragraph" w:styleId="Titolo1">
    <w:name w:val="heading 1"/>
    <w:basedOn w:val="Normale"/>
    <w:next w:val="Normale"/>
    <w:link w:val="Titolo1Carattere"/>
    <w:uiPriority w:val="99"/>
    <w:qFormat/>
    <w:rsid w:val="002114EA"/>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114EA"/>
    <w:rPr>
      <w:rFonts w:ascii="Cambria" w:hAnsi="Cambria" w:cs="Times New Roman"/>
      <w:b/>
      <w:bCs/>
      <w:kern w:val="32"/>
      <w:sz w:val="32"/>
      <w:szCs w:val="32"/>
      <w:lang w:eastAsia="zh-CN"/>
    </w:rPr>
  </w:style>
  <w:style w:type="paragraph" w:styleId="Testofumetto">
    <w:name w:val="Balloon Text"/>
    <w:basedOn w:val="Normale"/>
    <w:link w:val="TestofumettoCarattere"/>
    <w:uiPriority w:val="99"/>
    <w:semiHidden/>
    <w:rsid w:val="002114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114EA"/>
    <w:rPr>
      <w:rFonts w:ascii="Tahoma" w:eastAsia="SimSun" w:hAnsi="Tahoma" w:cs="Tahoma"/>
      <w:sz w:val="16"/>
      <w:szCs w:val="16"/>
      <w:lang w:eastAsia="zh-CN"/>
    </w:rPr>
  </w:style>
  <w:style w:type="paragraph" w:customStyle="1" w:styleId="Default">
    <w:name w:val="Default"/>
    <w:uiPriority w:val="99"/>
    <w:rsid w:val="002114EA"/>
    <w:pPr>
      <w:autoSpaceDE w:val="0"/>
      <w:autoSpaceDN w:val="0"/>
      <w:adjustRightInd w:val="0"/>
    </w:pPr>
    <w:rPr>
      <w:color w:val="000000"/>
      <w:sz w:val="24"/>
      <w:szCs w:val="24"/>
    </w:rPr>
  </w:style>
  <w:style w:type="paragraph" w:styleId="Pidipagina">
    <w:name w:val="footer"/>
    <w:basedOn w:val="Normale"/>
    <w:link w:val="PidipaginaCarattere"/>
    <w:uiPriority w:val="99"/>
    <w:rsid w:val="002114EA"/>
    <w:pPr>
      <w:tabs>
        <w:tab w:val="center" w:pos="4819"/>
        <w:tab w:val="right" w:pos="9638"/>
      </w:tabs>
    </w:pPr>
  </w:style>
  <w:style w:type="character" w:customStyle="1" w:styleId="PidipaginaCarattere">
    <w:name w:val="Piè di pagina Carattere"/>
    <w:basedOn w:val="Carpredefinitoparagrafo"/>
    <w:link w:val="Pidipagina"/>
    <w:uiPriority w:val="99"/>
    <w:locked/>
    <w:rsid w:val="002114EA"/>
    <w:rPr>
      <w:rFonts w:eastAsia="SimSun" w:cs="Times New Roman"/>
      <w:sz w:val="24"/>
      <w:szCs w:val="24"/>
      <w:lang w:eastAsia="zh-CN"/>
    </w:rPr>
  </w:style>
  <w:style w:type="paragraph" w:styleId="NormaleWeb">
    <w:name w:val="Normal (Web)"/>
    <w:basedOn w:val="Normale"/>
    <w:uiPriority w:val="99"/>
    <w:rsid w:val="002114EA"/>
    <w:pPr>
      <w:spacing w:before="100" w:beforeAutospacing="1" w:after="119"/>
    </w:pPr>
    <w:rPr>
      <w:rFonts w:eastAsia="Times New Roman"/>
      <w:lang w:eastAsia="it-IT"/>
    </w:rPr>
  </w:style>
  <w:style w:type="character" w:styleId="Collegamentoipertestuale">
    <w:name w:val="Hyperlink"/>
    <w:basedOn w:val="Carpredefinitoparagrafo"/>
    <w:uiPriority w:val="99"/>
    <w:semiHidden/>
    <w:rsid w:val="002114EA"/>
    <w:rPr>
      <w:rFonts w:cs="Times New Roman"/>
      <w:color w:val="0000FF"/>
      <w:u w:val="single"/>
    </w:rPr>
  </w:style>
  <w:style w:type="paragraph" w:styleId="Corpotesto">
    <w:name w:val="Body Text"/>
    <w:basedOn w:val="Normale"/>
    <w:link w:val="CorpotestoCarattere"/>
    <w:uiPriority w:val="99"/>
    <w:rsid w:val="002114EA"/>
    <w:pPr>
      <w:widowControl w:val="0"/>
      <w:spacing w:line="520" w:lineRule="exact"/>
      <w:jc w:val="both"/>
    </w:pPr>
    <w:rPr>
      <w:rFonts w:ascii="Courier New" w:eastAsia="Times New Roman" w:hAnsi="Courier New"/>
      <w:szCs w:val="20"/>
      <w:lang w:eastAsia="it-IT"/>
    </w:rPr>
  </w:style>
  <w:style w:type="character" w:customStyle="1" w:styleId="CorpotestoCarattere">
    <w:name w:val="Corpo testo Carattere"/>
    <w:basedOn w:val="Carpredefinitoparagrafo"/>
    <w:link w:val="Corpotesto"/>
    <w:uiPriority w:val="99"/>
    <w:locked/>
    <w:rsid w:val="002114EA"/>
    <w:rPr>
      <w:rFonts w:ascii="Courier New" w:hAnsi="Courier New" w:cs="Times New Roman"/>
      <w:sz w:val="24"/>
    </w:rPr>
  </w:style>
  <w:style w:type="paragraph" w:styleId="Paragrafoelenco">
    <w:name w:val="List Paragraph"/>
    <w:basedOn w:val="Normale"/>
    <w:uiPriority w:val="34"/>
    <w:qFormat/>
    <w:rsid w:val="002114EA"/>
    <w:pPr>
      <w:ind w:left="708"/>
    </w:pPr>
  </w:style>
  <w:style w:type="paragraph" w:styleId="Intestazione">
    <w:name w:val="header"/>
    <w:basedOn w:val="Normale"/>
    <w:link w:val="IntestazioneCarattere"/>
    <w:uiPriority w:val="99"/>
    <w:semiHidden/>
    <w:rsid w:val="002114E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114EA"/>
    <w:rPr>
      <w:rFonts w:eastAsia="SimSun" w:cs="Times New Roman"/>
      <w:sz w:val="24"/>
      <w:szCs w:val="24"/>
      <w:lang w:eastAsia="zh-CN"/>
    </w:rPr>
  </w:style>
  <w:style w:type="table" w:styleId="Grigliatabella">
    <w:name w:val="Table Grid"/>
    <w:basedOn w:val="Tabellanormale"/>
    <w:uiPriority w:val="99"/>
    <w:rsid w:val="00211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tf1NormalTable">
    <w:name w:val="rtf1 Normal Table"/>
    <w:uiPriority w:val="99"/>
    <w:semiHidden/>
    <w:unhideWhenUsed/>
    <w:qFormat/>
    <w:rsid w:val="00433DCF"/>
    <w:pPr>
      <w:spacing w:after="200" w:line="276" w:lineRule="auto"/>
    </w:pPr>
    <w:rPr>
      <w:rFonts w:ascii="Calibri" w:hAnsi="Calibri"/>
      <w:sz w:val="22"/>
      <w:szCs w:val="22"/>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99382">
      <w:bodyDiv w:val="1"/>
      <w:marLeft w:val="0"/>
      <w:marRight w:val="0"/>
      <w:marTop w:val="0"/>
      <w:marBottom w:val="0"/>
      <w:divBdr>
        <w:top w:val="none" w:sz="0" w:space="0" w:color="auto"/>
        <w:left w:val="none" w:sz="0" w:space="0" w:color="auto"/>
        <w:bottom w:val="none" w:sz="0" w:space="0" w:color="auto"/>
        <w:right w:val="none" w:sz="0" w:space="0" w:color="auto"/>
      </w:divBdr>
    </w:div>
    <w:div w:id="1184595555">
      <w:bodyDiv w:val="1"/>
      <w:marLeft w:val="0"/>
      <w:marRight w:val="0"/>
      <w:marTop w:val="0"/>
      <w:marBottom w:val="0"/>
      <w:divBdr>
        <w:top w:val="none" w:sz="0" w:space="0" w:color="auto"/>
        <w:left w:val="none" w:sz="0" w:space="0" w:color="auto"/>
        <w:bottom w:val="none" w:sz="0" w:space="0" w:color="auto"/>
        <w:right w:val="none" w:sz="0" w:space="0" w:color="auto"/>
      </w:divBdr>
    </w:div>
    <w:div w:id="2058966245">
      <w:marLeft w:val="0"/>
      <w:marRight w:val="0"/>
      <w:marTop w:val="0"/>
      <w:marBottom w:val="0"/>
      <w:divBdr>
        <w:top w:val="none" w:sz="0" w:space="0" w:color="auto"/>
        <w:left w:val="none" w:sz="0" w:space="0" w:color="auto"/>
        <w:bottom w:val="none" w:sz="0" w:space="0" w:color="auto"/>
        <w:right w:val="none" w:sz="0" w:space="0" w:color="auto"/>
      </w:divBdr>
    </w:div>
    <w:div w:id="2058966247">
      <w:marLeft w:val="0"/>
      <w:marRight w:val="0"/>
      <w:marTop w:val="0"/>
      <w:marBottom w:val="0"/>
      <w:divBdr>
        <w:top w:val="none" w:sz="0" w:space="0" w:color="auto"/>
        <w:left w:val="none" w:sz="0" w:space="0" w:color="auto"/>
        <w:bottom w:val="none" w:sz="0" w:space="0" w:color="auto"/>
        <w:right w:val="none" w:sz="0" w:space="0" w:color="auto"/>
      </w:divBdr>
    </w:div>
    <w:div w:id="2058966251">
      <w:marLeft w:val="0"/>
      <w:marRight w:val="0"/>
      <w:marTop w:val="0"/>
      <w:marBottom w:val="0"/>
      <w:divBdr>
        <w:top w:val="none" w:sz="0" w:space="0" w:color="auto"/>
        <w:left w:val="none" w:sz="0" w:space="0" w:color="auto"/>
        <w:bottom w:val="none" w:sz="0" w:space="0" w:color="auto"/>
        <w:right w:val="none" w:sz="0" w:space="0" w:color="auto"/>
      </w:divBdr>
    </w:div>
    <w:div w:id="2058966252">
      <w:marLeft w:val="0"/>
      <w:marRight w:val="0"/>
      <w:marTop w:val="0"/>
      <w:marBottom w:val="0"/>
      <w:divBdr>
        <w:top w:val="none" w:sz="0" w:space="0" w:color="auto"/>
        <w:left w:val="none" w:sz="0" w:space="0" w:color="auto"/>
        <w:bottom w:val="none" w:sz="0" w:space="0" w:color="auto"/>
        <w:right w:val="none" w:sz="0" w:space="0" w:color="auto"/>
      </w:divBdr>
    </w:div>
    <w:div w:id="2058966254">
      <w:marLeft w:val="0"/>
      <w:marRight w:val="0"/>
      <w:marTop w:val="0"/>
      <w:marBottom w:val="0"/>
      <w:divBdr>
        <w:top w:val="none" w:sz="0" w:space="0" w:color="auto"/>
        <w:left w:val="none" w:sz="0" w:space="0" w:color="auto"/>
        <w:bottom w:val="none" w:sz="0" w:space="0" w:color="auto"/>
        <w:right w:val="none" w:sz="0" w:space="0" w:color="auto"/>
      </w:divBdr>
    </w:div>
    <w:div w:id="2058966258">
      <w:marLeft w:val="0"/>
      <w:marRight w:val="0"/>
      <w:marTop w:val="0"/>
      <w:marBottom w:val="0"/>
      <w:divBdr>
        <w:top w:val="none" w:sz="0" w:space="0" w:color="auto"/>
        <w:left w:val="none" w:sz="0" w:space="0" w:color="auto"/>
        <w:bottom w:val="none" w:sz="0" w:space="0" w:color="auto"/>
        <w:right w:val="none" w:sz="0" w:space="0" w:color="auto"/>
      </w:divBdr>
    </w:div>
    <w:div w:id="2058966259">
      <w:marLeft w:val="0"/>
      <w:marRight w:val="0"/>
      <w:marTop w:val="0"/>
      <w:marBottom w:val="0"/>
      <w:divBdr>
        <w:top w:val="none" w:sz="0" w:space="0" w:color="auto"/>
        <w:left w:val="none" w:sz="0" w:space="0" w:color="auto"/>
        <w:bottom w:val="none" w:sz="0" w:space="0" w:color="auto"/>
        <w:right w:val="none" w:sz="0" w:space="0" w:color="auto"/>
      </w:divBdr>
    </w:div>
    <w:div w:id="2058966262">
      <w:marLeft w:val="0"/>
      <w:marRight w:val="0"/>
      <w:marTop w:val="0"/>
      <w:marBottom w:val="0"/>
      <w:divBdr>
        <w:top w:val="none" w:sz="0" w:space="0" w:color="auto"/>
        <w:left w:val="none" w:sz="0" w:space="0" w:color="auto"/>
        <w:bottom w:val="none" w:sz="0" w:space="0" w:color="auto"/>
        <w:right w:val="none" w:sz="0" w:space="0" w:color="auto"/>
      </w:divBdr>
    </w:div>
    <w:div w:id="2058966265">
      <w:marLeft w:val="0"/>
      <w:marRight w:val="0"/>
      <w:marTop w:val="0"/>
      <w:marBottom w:val="0"/>
      <w:divBdr>
        <w:top w:val="none" w:sz="0" w:space="0" w:color="auto"/>
        <w:left w:val="none" w:sz="0" w:space="0" w:color="auto"/>
        <w:bottom w:val="none" w:sz="0" w:space="0" w:color="auto"/>
        <w:right w:val="none" w:sz="0" w:space="0" w:color="auto"/>
      </w:divBdr>
    </w:div>
    <w:div w:id="2058966266">
      <w:marLeft w:val="0"/>
      <w:marRight w:val="0"/>
      <w:marTop w:val="0"/>
      <w:marBottom w:val="0"/>
      <w:divBdr>
        <w:top w:val="none" w:sz="0" w:space="0" w:color="auto"/>
        <w:left w:val="none" w:sz="0" w:space="0" w:color="auto"/>
        <w:bottom w:val="none" w:sz="0" w:space="0" w:color="auto"/>
        <w:right w:val="none" w:sz="0" w:space="0" w:color="auto"/>
      </w:divBdr>
      <w:divsChild>
        <w:div w:id="2058966284">
          <w:marLeft w:val="0"/>
          <w:marRight w:val="0"/>
          <w:marTop w:val="0"/>
          <w:marBottom w:val="0"/>
          <w:divBdr>
            <w:top w:val="none" w:sz="0" w:space="0" w:color="auto"/>
            <w:left w:val="none" w:sz="0" w:space="0" w:color="auto"/>
            <w:bottom w:val="none" w:sz="0" w:space="0" w:color="auto"/>
            <w:right w:val="none" w:sz="0" w:space="0" w:color="auto"/>
          </w:divBdr>
        </w:div>
      </w:divsChild>
    </w:div>
    <w:div w:id="2058966267">
      <w:marLeft w:val="0"/>
      <w:marRight w:val="0"/>
      <w:marTop w:val="0"/>
      <w:marBottom w:val="0"/>
      <w:divBdr>
        <w:top w:val="none" w:sz="0" w:space="0" w:color="auto"/>
        <w:left w:val="none" w:sz="0" w:space="0" w:color="auto"/>
        <w:bottom w:val="none" w:sz="0" w:space="0" w:color="auto"/>
        <w:right w:val="none" w:sz="0" w:space="0" w:color="auto"/>
      </w:divBdr>
    </w:div>
    <w:div w:id="2058966269">
      <w:marLeft w:val="0"/>
      <w:marRight w:val="0"/>
      <w:marTop w:val="0"/>
      <w:marBottom w:val="0"/>
      <w:divBdr>
        <w:top w:val="none" w:sz="0" w:space="0" w:color="auto"/>
        <w:left w:val="none" w:sz="0" w:space="0" w:color="auto"/>
        <w:bottom w:val="none" w:sz="0" w:space="0" w:color="auto"/>
        <w:right w:val="none" w:sz="0" w:space="0" w:color="auto"/>
      </w:divBdr>
    </w:div>
    <w:div w:id="2058966274">
      <w:marLeft w:val="0"/>
      <w:marRight w:val="0"/>
      <w:marTop w:val="0"/>
      <w:marBottom w:val="0"/>
      <w:divBdr>
        <w:top w:val="none" w:sz="0" w:space="0" w:color="auto"/>
        <w:left w:val="none" w:sz="0" w:space="0" w:color="auto"/>
        <w:bottom w:val="none" w:sz="0" w:space="0" w:color="auto"/>
        <w:right w:val="none" w:sz="0" w:space="0" w:color="auto"/>
      </w:divBdr>
    </w:div>
    <w:div w:id="2058966275">
      <w:marLeft w:val="0"/>
      <w:marRight w:val="0"/>
      <w:marTop w:val="0"/>
      <w:marBottom w:val="0"/>
      <w:divBdr>
        <w:top w:val="none" w:sz="0" w:space="0" w:color="auto"/>
        <w:left w:val="none" w:sz="0" w:space="0" w:color="auto"/>
        <w:bottom w:val="none" w:sz="0" w:space="0" w:color="auto"/>
        <w:right w:val="none" w:sz="0" w:space="0" w:color="auto"/>
      </w:divBdr>
    </w:div>
    <w:div w:id="2058966276">
      <w:marLeft w:val="0"/>
      <w:marRight w:val="0"/>
      <w:marTop w:val="0"/>
      <w:marBottom w:val="0"/>
      <w:divBdr>
        <w:top w:val="none" w:sz="0" w:space="0" w:color="auto"/>
        <w:left w:val="none" w:sz="0" w:space="0" w:color="auto"/>
        <w:bottom w:val="none" w:sz="0" w:space="0" w:color="auto"/>
        <w:right w:val="none" w:sz="0" w:space="0" w:color="auto"/>
      </w:divBdr>
      <w:divsChild>
        <w:div w:id="2058966270">
          <w:marLeft w:val="0"/>
          <w:marRight w:val="0"/>
          <w:marTop w:val="0"/>
          <w:marBottom w:val="0"/>
          <w:divBdr>
            <w:top w:val="none" w:sz="0" w:space="0" w:color="auto"/>
            <w:left w:val="none" w:sz="0" w:space="0" w:color="auto"/>
            <w:bottom w:val="none" w:sz="0" w:space="0" w:color="auto"/>
            <w:right w:val="none" w:sz="0" w:space="0" w:color="auto"/>
          </w:divBdr>
          <w:divsChild>
            <w:div w:id="2058966279">
              <w:marLeft w:val="120"/>
              <w:marRight w:val="120"/>
              <w:marTop w:val="0"/>
              <w:marBottom w:val="0"/>
              <w:divBdr>
                <w:top w:val="none" w:sz="0" w:space="0" w:color="auto"/>
                <w:left w:val="none" w:sz="0" w:space="0" w:color="auto"/>
                <w:bottom w:val="none" w:sz="0" w:space="0" w:color="auto"/>
                <w:right w:val="none" w:sz="0" w:space="0" w:color="auto"/>
              </w:divBdr>
              <w:divsChild>
                <w:div w:id="2058966288">
                  <w:marLeft w:val="0"/>
                  <w:marRight w:val="0"/>
                  <w:marTop w:val="0"/>
                  <w:marBottom w:val="0"/>
                  <w:divBdr>
                    <w:top w:val="none" w:sz="0" w:space="0" w:color="auto"/>
                    <w:left w:val="none" w:sz="0" w:space="0" w:color="auto"/>
                    <w:bottom w:val="none" w:sz="0" w:space="0" w:color="auto"/>
                    <w:right w:val="none" w:sz="0" w:space="0" w:color="auto"/>
                  </w:divBdr>
                  <w:divsChild>
                    <w:div w:id="2058966256">
                      <w:marLeft w:val="0"/>
                      <w:marRight w:val="0"/>
                      <w:marTop w:val="0"/>
                      <w:marBottom w:val="0"/>
                      <w:divBdr>
                        <w:top w:val="single" w:sz="6" w:space="0" w:color="D7D7D7"/>
                        <w:left w:val="single" w:sz="6" w:space="0" w:color="D7D7D7"/>
                        <w:bottom w:val="single" w:sz="6" w:space="0" w:color="D7D7D7"/>
                        <w:right w:val="single" w:sz="6" w:space="0" w:color="D7D7D7"/>
                      </w:divBdr>
                      <w:divsChild>
                        <w:div w:id="2058966249">
                          <w:marLeft w:val="0"/>
                          <w:marRight w:val="0"/>
                          <w:marTop w:val="0"/>
                          <w:marBottom w:val="0"/>
                          <w:divBdr>
                            <w:top w:val="none" w:sz="0" w:space="0" w:color="auto"/>
                            <w:left w:val="none" w:sz="0" w:space="0" w:color="auto"/>
                            <w:bottom w:val="none" w:sz="0" w:space="0" w:color="auto"/>
                            <w:right w:val="none" w:sz="0" w:space="0" w:color="auto"/>
                          </w:divBdr>
                          <w:divsChild>
                            <w:div w:id="2058966290">
                              <w:marLeft w:val="0"/>
                              <w:marRight w:val="0"/>
                              <w:marTop w:val="0"/>
                              <w:marBottom w:val="0"/>
                              <w:divBdr>
                                <w:top w:val="none" w:sz="0" w:space="0" w:color="auto"/>
                                <w:left w:val="none" w:sz="0" w:space="0" w:color="auto"/>
                                <w:bottom w:val="none" w:sz="0" w:space="0" w:color="auto"/>
                                <w:right w:val="none" w:sz="0" w:space="0" w:color="auto"/>
                              </w:divBdr>
                              <w:divsChild>
                                <w:div w:id="2058966273">
                                  <w:marLeft w:val="0"/>
                                  <w:marRight w:val="0"/>
                                  <w:marTop w:val="0"/>
                                  <w:marBottom w:val="0"/>
                                  <w:divBdr>
                                    <w:top w:val="none" w:sz="0" w:space="0" w:color="auto"/>
                                    <w:left w:val="none" w:sz="0" w:space="0" w:color="auto"/>
                                    <w:bottom w:val="none" w:sz="0" w:space="0" w:color="auto"/>
                                    <w:right w:val="none" w:sz="0" w:space="0" w:color="auto"/>
                                  </w:divBdr>
                                  <w:divsChild>
                                    <w:div w:id="2058966277">
                                      <w:marLeft w:val="0"/>
                                      <w:marRight w:val="0"/>
                                      <w:marTop w:val="0"/>
                                      <w:marBottom w:val="0"/>
                                      <w:divBdr>
                                        <w:top w:val="none" w:sz="0" w:space="0" w:color="auto"/>
                                        <w:left w:val="none" w:sz="0" w:space="0" w:color="auto"/>
                                        <w:bottom w:val="none" w:sz="0" w:space="0" w:color="auto"/>
                                        <w:right w:val="none" w:sz="0" w:space="0" w:color="auto"/>
                                      </w:divBdr>
                                      <w:divsChild>
                                        <w:div w:id="2058966246">
                                          <w:marLeft w:val="0"/>
                                          <w:marRight w:val="0"/>
                                          <w:marTop w:val="0"/>
                                          <w:marBottom w:val="0"/>
                                          <w:divBdr>
                                            <w:top w:val="none" w:sz="0" w:space="0" w:color="auto"/>
                                            <w:left w:val="none" w:sz="0" w:space="0" w:color="auto"/>
                                            <w:bottom w:val="none" w:sz="0" w:space="0" w:color="auto"/>
                                            <w:right w:val="none" w:sz="0" w:space="0" w:color="auto"/>
                                          </w:divBdr>
                                          <w:divsChild>
                                            <w:div w:id="2058966289">
                                              <w:marLeft w:val="0"/>
                                              <w:marRight w:val="0"/>
                                              <w:marTop w:val="0"/>
                                              <w:marBottom w:val="0"/>
                                              <w:divBdr>
                                                <w:top w:val="none" w:sz="0" w:space="0" w:color="auto"/>
                                                <w:left w:val="none" w:sz="0" w:space="0" w:color="auto"/>
                                                <w:bottom w:val="none" w:sz="0" w:space="0" w:color="auto"/>
                                                <w:right w:val="none" w:sz="0" w:space="0" w:color="auto"/>
                                              </w:divBdr>
                                              <w:divsChild>
                                                <w:div w:id="2058966272">
                                                  <w:marLeft w:val="0"/>
                                                  <w:marRight w:val="0"/>
                                                  <w:marTop w:val="0"/>
                                                  <w:marBottom w:val="0"/>
                                                  <w:divBdr>
                                                    <w:top w:val="none" w:sz="0" w:space="0" w:color="auto"/>
                                                    <w:left w:val="none" w:sz="0" w:space="0" w:color="auto"/>
                                                    <w:bottom w:val="none" w:sz="0" w:space="0" w:color="auto"/>
                                                    <w:right w:val="none" w:sz="0" w:space="0" w:color="auto"/>
                                                  </w:divBdr>
                                                  <w:divsChild>
                                                    <w:div w:id="2058966280">
                                                      <w:marLeft w:val="0"/>
                                                      <w:marRight w:val="0"/>
                                                      <w:marTop w:val="0"/>
                                                      <w:marBottom w:val="0"/>
                                                      <w:divBdr>
                                                        <w:top w:val="none" w:sz="0" w:space="0" w:color="auto"/>
                                                        <w:left w:val="none" w:sz="0" w:space="0" w:color="auto"/>
                                                        <w:bottom w:val="none" w:sz="0" w:space="0" w:color="auto"/>
                                                        <w:right w:val="none" w:sz="0" w:space="0" w:color="auto"/>
                                                      </w:divBdr>
                                                      <w:divsChild>
                                                        <w:div w:id="2058966264">
                                                          <w:marLeft w:val="0"/>
                                                          <w:marRight w:val="0"/>
                                                          <w:marTop w:val="0"/>
                                                          <w:marBottom w:val="0"/>
                                                          <w:divBdr>
                                                            <w:top w:val="none" w:sz="0" w:space="0" w:color="auto"/>
                                                            <w:left w:val="none" w:sz="0" w:space="0" w:color="auto"/>
                                                            <w:bottom w:val="none" w:sz="0" w:space="0" w:color="auto"/>
                                                            <w:right w:val="none" w:sz="0" w:space="0" w:color="auto"/>
                                                          </w:divBdr>
                                                          <w:divsChild>
                                                            <w:div w:id="2058966268">
                                                              <w:marLeft w:val="0"/>
                                                              <w:marRight w:val="0"/>
                                                              <w:marTop w:val="0"/>
                                                              <w:marBottom w:val="0"/>
                                                              <w:divBdr>
                                                                <w:top w:val="none" w:sz="0" w:space="0" w:color="auto"/>
                                                                <w:left w:val="none" w:sz="0" w:space="0" w:color="auto"/>
                                                                <w:bottom w:val="none" w:sz="0" w:space="0" w:color="auto"/>
                                                                <w:right w:val="none" w:sz="0" w:space="0" w:color="auto"/>
                                                              </w:divBdr>
                                                              <w:divsChild>
                                                                <w:div w:id="2058966257">
                                                                  <w:marLeft w:val="0"/>
                                                                  <w:marRight w:val="0"/>
                                                                  <w:marTop w:val="0"/>
                                                                  <w:marBottom w:val="0"/>
                                                                  <w:divBdr>
                                                                    <w:top w:val="none" w:sz="0" w:space="0" w:color="auto"/>
                                                                    <w:left w:val="none" w:sz="0" w:space="0" w:color="auto"/>
                                                                    <w:bottom w:val="none" w:sz="0" w:space="0" w:color="auto"/>
                                                                    <w:right w:val="none" w:sz="0" w:space="0" w:color="auto"/>
                                                                  </w:divBdr>
                                                                  <w:divsChild>
                                                                    <w:div w:id="2058966248">
                                                                      <w:marLeft w:val="0"/>
                                                                      <w:marRight w:val="0"/>
                                                                      <w:marTop w:val="0"/>
                                                                      <w:marBottom w:val="0"/>
                                                                      <w:divBdr>
                                                                        <w:top w:val="none" w:sz="0" w:space="0" w:color="auto"/>
                                                                        <w:left w:val="none" w:sz="0" w:space="0" w:color="auto"/>
                                                                        <w:bottom w:val="none" w:sz="0" w:space="0" w:color="auto"/>
                                                                        <w:right w:val="none" w:sz="0" w:space="0" w:color="auto"/>
                                                                      </w:divBdr>
                                                                      <w:divsChild>
                                                                        <w:div w:id="2058966260">
                                                                          <w:marLeft w:val="0"/>
                                                                          <w:marRight w:val="0"/>
                                                                          <w:marTop w:val="0"/>
                                                                          <w:marBottom w:val="0"/>
                                                                          <w:divBdr>
                                                                            <w:top w:val="none" w:sz="0" w:space="0" w:color="auto"/>
                                                                            <w:left w:val="none" w:sz="0" w:space="0" w:color="auto"/>
                                                                            <w:bottom w:val="none" w:sz="0" w:space="0" w:color="auto"/>
                                                                            <w:right w:val="none" w:sz="0" w:space="0" w:color="auto"/>
                                                                          </w:divBdr>
                                                                          <w:divsChild>
                                                                            <w:div w:id="2058966271">
                                                                              <w:marLeft w:val="0"/>
                                                                              <w:marRight w:val="0"/>
                                                                              <w:marTop w:val="0"/>
                                                                              <w:marBottom w:val="0"/>
                                                                              <w:divBdr>
                                                                                <w:top w:val="none" w:sz="0" w:space="0" w:color="auto"/>
                                                                                <w:left w:val="none" w:sz="0" w:space="0" w:color="auto"/>
                                                                                <w:bottom w:val="none" w:sz="0" w:space="0" w:color="auto"/>
                                                                                <w:right w:val="none" w:sz="0" w:space="0" w:color="auto"/>
                                                                              </w:divBdr>
                                                                              <w:divsChild>
                                                                                <w:div w:id="2058966253">
                                                                                  <w:marLeft w:val="0"/>
                                                                                  <w:marRight w:val="0"/>
                                                                                  <w:marTop w:val="0"/>
                                                                                  <w:marBottom w:val="0"/>
                                                                                  <w:divBdr>
                                                                                    <w:top w:val="none" w:sz="0" w:space="0" w:color="auto"/>
                                                                                    <w:left w:val="none" w:sz="0" w:space="0" w:color="auto"/>
                                                                                    <w:bottom w:val="none" w:sz="0" w:space="0" w:color="auto"/>
                                                                                    <w:right w:val="none" w:sz="0" w:space="0" w:color="auto"/>
                                                                                  </w:divBdr>
                                                                                  <w:divsChild>
                                                                                    <w:div w:id="2058966287">
                                                                                      <w:marLeft w:val="0"/>
                                                                                      <w:marRight w:val="0"/>
                                                                                      <w:marTop w:val="0"/>
                                                                                      <w:marBottom w:val="0"/>
                                                                                      <w:divBdr>
                                                                                        <w:top w:val="none" w:sz="0" w:space="0" w:color="auto"/>
                                                                                        <w:left w:val="none" w:sz="0" w:space="0" w:color="auto"/>
                                                                                        <w:bottom w:val="none" w:sz="0" w:space="0" w:color="auto"/>
                                                                                        <w:right w:val="none" w:sz="0" w:space="0" w:color="auto"/>
                                                                                      </w:divBdr>
                                                                                      <w:divsChild>
                                                                                        <w:div w:id="2058966250">
                                                                                          <w:marLeft w:val="0"/>
                                                                                          <w:marRight w:val="0"/>
                                                                                          <w:marTop w:val="0"/>
                                                                                          <w:marBottom w:val="0"/>
                                                                                          <w:divBdr>
                                                                                            <w:top w:val="none" w:sz="0" w:space="0" w:color="auto"/>
                                                                                            <w:left w:val="none" w:sz="0" w:space="0" w:color="auto"/>
                                                                                            <w:bottom w:val="none" w:sz="0" w:space="0" w:color="auto"/>
                                                                                            <w:right w:val="none" w:sz="0" w:space="0" w:color="auto"/>
                                                                                          </w:divBdr>
                                                                                        </w:div>
                                                                                        <w:div w:id="2058966255">
                                                                                          <w:marLeft w:val="0"/>
                                                                                          <w:marRight w:val="0"/>
                                                                                          <w:marTop w:val="0"/>
                                                                                          <w:marBottom w:val="0"/>
                                                                                          <w:divBdr>
                                                                                            <w:top w:val="none" w:sz="0" w:space="0" w:color="auto"/>
                                                                                            <w:left w:val="none" w:sz="0" w:space="0" w:color="auto"/>
                                                                                            <w:bottom w:val="none" w:sz="0" w:space="0" w:color="auto"/>
                                                                                            <w:right w:val="none" w:sz="0" w:space="0" w:color="auto"/>
                                                                                          </w:divBdr>
                                                                                        </w:div>
                                                                                        <w:div w:id="2058966263">
                                                                                          <w:marLeft w:val="0"/>
                                                                                          <w:marRight w:val="0"/>
                                                                                          <w:marTop w:val="0"/>
                                                                                          <w:marBottom w:val="0"/>
                                                                                          <w:divBdr>
                                                                                            <w:top w:val="none" w:sz="0" w:space="0" w:color="auto"/>
                                                                                            <w:left w:val="none" w:sz="0" w:space="0" w:color="auto"/>
                                                                                            <w:bottom w:val="none" w:sz="0" w:space="0" w:color="auto"/>
                                                                                            <w:right w:val="none" w:sz="0" w:space="0" w:color="auto"/>
                                                                                          </w:divBdr>
                                                                                        </w:div>
                                                                                        <w:div w:id="20589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261">
                                                                                  <w:marLeft w:val="0"/>
                                                                                  <w:marRight w:val="0"/>
                                                                                  <w:marTop w:val="0"/>
                                                                                  <w:marBottom w:val="0"/>
                                                                                  <w:divBdr>
                                                                                    <w:top w:val="none" w:sz="0" w:space="0" w:color="auto"/>
                                                                                    <w:left w:val="none" w:sz="0" w:space="0" w:color="auto"/>
                                                                                    <w:bottom w:val="none" w:sz="0" w:space="0" w:color="auto"/>
                                                                                    <w:right w:val="none" w:sz="0" w:space="0" w:color="auto"/>
                                                                                  </w:divBdr>
                                                                                </w:div>
                                                                              </w:divsChild>
                                                                            </w:div>
                                                                            <w:div w:id="20589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966278">
      <w:marLeft w:val="0"/>
      <w:marRight w:val="0"/>
      <w:marTop w:val="0"/>
      <w:marBottom w:val="0"/>
      <w:divBdr>
        <w:top w:val="none" w:sz="0" w:space="0" w:color="auto"/>
        <w:left w:val="none" w:sz="0" w:space="0" w:color="auto"/>
        <w:bottom w:val="none" w:sz="0" w:space="0" w:color="auto"/>
        <w:right w:val="none" w:sz="0" w:space="0" w:color="auto"/>
      </w:divBdr>
    </w:div>
    <w:div w:id="2058966282">
      <w:marLeft w:val="0"/>
      <w:marRight w:val="0"/>
      <w:marTop w:val="0"/>
      <w:marBottom w:val="0"/>
      <w:divBdr>
        <w:top w:val="none" w:sz="0" w:space="0" w:color="auto"/>
        <w:left w:val="none" w:sz="0" w:space="0" w:color="auto"/>
        <w:bottom w:val="none" w:sz="0" w:space="0" w:color="auto"/>
        <w:right w:val="none" w:sz="0" w:space="0" w:color="auto"/>
      </w:divBdr>
    </w:div>
    <w:div w:id="2058966283">
      <w:marLeft w:val="0"/>
      <w:marRight w:val="0"/>
      <w:marTop w:val="0"/>
      <w:marBottom w:val="0"/>
      <w:divBdr>
        <w:top w:val="none" w:sz="0" w:space="0" w:color="auto"/>
        <w:left w:val="none" w:sz="0" w:space="0" w:color="auto"/>
        <w:bottom w:val="none" w:sz="0" w:space="0" w:color="auto"/>
        <w:right w:val="none" w:sz="0" w:space="0" w:color="auto"/>
      </w:divBdr>
    </w:div>
    <w:div w:id="2058966285">
      <w:marLeft w:val="0"/>
      <w:marRight w:val="0"/>
      <w:marTop w:val="0"/>
      <w:marBottom w:val="0"/>
      <w:divBdr>
        <w:top w:val="none" w:sz="0" w:space="0" w:color="auto"/>
        <w:left w:val="none" w:sz="0" w:space="0" w:color="auto"/>
        <w:bottom w:val="none" w:sz="0" w:space="0" w:color="auto"/>
        <w:right w:val="none" w:sz="0" w:space="0" w:color="auto"/>
      </w:divBdr>
    </w:div>
    <w:div w:id="2058966291">
      <w:marLeft w:val="0"/>
      <w:marRight w:val="0"/>
      <w:marTop w:val="0"/>
      <w:marBottom w:val="0"/>
      <w:divBdr>
        <w:top w:val="none" w:sz="0" w:space="0" w:color="auto"/>
        <w:left w:val="none" w:sz="0" w:space="0" w:color="auto"/>
        <w:bottom w:val="none" w:sz="0" w:space="0" w:color="auto"/>
        <w:right w:val="none" w:sz="0" w:space="0" w:color="auto"/>
      </w:divBdr>
    </w:div>
    <w:div w:id="2058966292">
      <w:marLeft w:val="0"/>
      <w:marRight w:val="0"/>
      <w:marTop w:val="0"/>
      <w:marBottom w:val="0"/>
      <w:divBdr>
        <w:top w:val="none" w:sz="0" w:space="0" w:color="auto"/>
        <w:left w:val="none" w:sz="0" w:space="0" w:color="auto"/>
        <w:bottom w:val="none" w:sz="0" w:space="0" w:color="auto"/>
        <w:right w:val="none" w:sz="0" w:space="0" w:color="auto"/>
      </w:divBdr>
    </w:div>
    <w:div w:id="2058966293">
      <w:marLeft w:val="0"/>
      <w:marRight w:val="0"/>
      <w:marTop w:val="0"/>
      <w:marBottom w:val="0"/>
      <w:divBdr>
        <w:top w:val="none" w:sz="0" w:space="0" w:color="auto"/>
        <w:left w:val="none" w:sz="0" w:space="0" w:color="auto"/>
        <w:bottom w:val="none" w:sz="0" w:space="0" w:color="auto"/>
        <w:right w:val="none" w:sz="0" w:space="0" w:color="auto"/>
      </w:divBdr>
    </w:div>
    <w:div w:id="2058966294">
      <w:marLeft w:val="0"/>
      <w:marRight w:val="0"/>
      <w:marTop w:val="0"/>
      <w:marBottom w:val="0"/>
      <w:divBdr>
        <w:top w:val="none" w:sz="0" w:space="0" w:color="auto"/>
        <w:left w:val="none" w:sz="0" w:space="0" w:color="auto"/>
        <w:bottom w:val="none" w:sz="0" w:space="0" w:color="auto"/>
        <w:right w:val="none" w:sz="0" w:space="0" w:color="auto"/>
      </w:divBdr>
    </w:div>
    <w:div w:id="2058966295">
      <w:marLeft w:val="0"/>
      <w:marRight w:val="0"/>
      <w:marTop w:val="0"/>
      <w:marBottom w:val="0"/>
      <w:divBdr>
        <w:top w:val="none" w:sz="0" w:space="0" w:color="auto"/>
        <w:left w:val="none" w:sz="0" w:space="0" w:color="auto"/>
        <w:bottom w:val="none" w:sz="0" w:space="0" w:color="auto"/>
        <w:right w:val="none" w:sz="0" w:space="0" w:color="auto"/>
      </w:divBdr>
    </w:div>
    <w:div w:id="2058966296">
      <w:marLeft w:val="0"/>
      <w:marRight w:val="0"/>
      <w:marTop w:val="0"/>
      <w:marBottom w:val="0"/>
      <w:divBdr>
        <w:top w:val="none" w:sz="0" w:space="0" w:color="auto"/>
        <w:left w:val="none" w:sz="0" w:space="0" w:color="auto"/>
        <w:bottom w:val="none" w:sz="0" w:space="0" w:color="auto"/>
        <w:right w:val="none" w:sz="0" w:space="0" w:color="auto"/>
      </w:divBdr>
    </w:div>
    <w:div w:id="2058966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55EF-0077-41EE-8809-F13A873B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C O M U N E  D I  P E T R O S I N O</vt:lpstr>
    </vt:vector>
  </TitlesOfParts>
  <Company>Comune di Petrosino</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M U N E  D I  P E T R O S I N O</dc:title>
  <dc:creator>Ragioneria</dc:creator>
  <cp:lastModifiedBy>Utente</cp:lastModifiedBy>
  <cp:revision>2</cp:revision>
  <cp:lastPrinted>2016-01-27T14:45:00Z</cp:lastPrinted>
  <dcterms:created xsi:type="dcterms:W3CDTF">2017-06-26T09:57:00Z</dcterms:created>
  <dcterms:modified xsi:type="dcterms:W3CDTF">2017-06-26T09:57:00Z</dcterms:modified>
</cp:coreProperties>
</file>